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973" w:rsidRDefault="00E72973">
      <w:pPr>
        <w:pStyle w:val="dazhangjie"/>
        <w:ind w:left="0"/>
        <w:jc w:val="both"/>
        <w:rPr>
          <w:b/>
          <w:bCs/>
          <w:color w:val="000000"/>
        </w:rPr>
      </w:pPr>
    </w:p>
    <w:p w:rsidR="00E72973" w:rsidRDefault="00E72973">
      <w:pPr>
        <w:pStyle w:val="dazhangjie"/>
        <w:ind w:left="0"/>
        <w:jc w:val="both"/>
        <w:rPr>
          <w:b/>
          <w:bCs/>
          <w:color w:val="000000"/>
        </w:rPr>
      </w:pPr>
    </w:p>
    <w:p w:rsidR="00E72973" w:rsidRDefault="00E72973">
      <w:pPr>
        <w:pStyle w:val="dazhangjie"/>
        <w:ind w:left="0"/>
        <w:jc w:val="both"/>
        <w:rPr>
          <w:b/>
          <w:bCs/>
          <w:color w:val="000000"/>
        </w:rPr>
      </w:pPr>
    </w:p>
    <w:p w:rsidR="00E72973" w:rsidRDefault="00F0294F">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南银理财珠联璧合安稳1905一年定开公募人民币理财产品</w:t>
      </w:r>
    </w:p>
    <w:p w:rsidR="00E72973" w:rsidRDefault="00A661C0">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E72973" w:rsidRDefault="00E72973">
      <w:pPr>
        <w:pStyle w:val="dazhangjie"/>
        <w:spacing w:before="240" w:after="120"/>
        <w:rPr>
          <w:rFonts w:ascii="黑体" w:eastAsia="黑体" w:hAnsi="黑体"/>
          <w:b/>
          <w:bCs/>
          <w:color w:val="000000"/>
          <w:sz w:val="36"/>
        </w:rPr>
      </w:pPr>
    </w:p>
    <w:p w:rsidR="00E72973" w:rsidRDefault="00E72973">
      <w:pPr>
        <w:pStyle w:val="dazhangjie"/>
        <w:spacing w:before="240" w:after="120"/>
        <w:rPr>
          <w:rFonts w:ascii="黑体" w:eastAsia="黑体" w:hAnsi="黑体"/>
          <w:b/>
          <w:bCs/>
          <w:color w:val="000000"/>
          <w:sz w:val="36"/>
        </w:rPr>
      </w:pPr>
    </w:p>
    <w:p w:rsidR="00E72973" w:rsidRDefault="00E72973">
      <w:pPr>
        <w:pStyle w:val="dazhangjie"/>
        <w:spacing w:before="240" w:after="120"/>
        <w:ind w:left="0"/>
        <w:jc w:val="both"/>
        <w:rPr>
          <w:rFonts w:ascii="黑体" w:eastAsia="黑体" w:hAnsi="黑体"/>
          <w:b/>
          <w:bCs/>
          <w:color w:val="000000"/>
          <w:sz w:val="36"/>
        </w:rPr>
      </w:pPr>
    </w:p>
    <w:p w:rsidR="00E72973" w:rsidRDefault="00F0294F">
      <w:pPr>
        <w:pStyle w:val="dazhangjie"/>
        <w:spacing w:before="240" w:after="120"/>
        <w:rPr>
          <w:b/>
          <w:bCs/>
          <w:color w:val="000000"/>
        </w:rPr>
      </w:pPr>
      <w:r>
        <w:rPr>
          <w:rFonts w:hint="eastAsia"/>
          <w:b/>
          <w:bCs/>
          <w:color w:val="000000"/>
        </w:rPr>
        <w:t>产品</w:t>
      </w:r>
      <w:r>
        <w:rPr>
          <w:b/>
          <w:bCs/>
          <w:color w:val="000000"/>
        </w:rPr>
        <w:t>管理人:南银理财有限责任公司</w:t>
      </w:r>
    </w:p>
    <w:p w:rsidR="00E72973" w:rsidRDefault="00F0294F">
      <w:pPr>
        <w:pStyle w:val="dazhangjie"/>
        <w:spacing w:before="240" w:after="120"/>
        <w:rPr>
          <w:b/>
          <w:bCs/>
          <w:color w:val="000000"/>
        </w:rPr>
      </w:pPr>
      <w:r>
        <w:rPr>
          <w:rFonts w:hint="eastAsia"/>
          <w:b/>
          <w:bCs/>
          <w:color w:val="000000"/>
        </w:rPr>
        <w:t>产品</w:t>
      </w:r>
      <w:r>
        <w:rPr>
          <w:b/>
          <w:bCs/>
          <w:color w:val="000000"/>
        </w:rPr>
        <w:t>托管人:南京银行股份有限公司</w:t>
      </w:r>
    </w:p>
    <w:p w:rsidR="00E72973" w:rsidRDefault="00F0294F">
      <w:pPr>
        <w:widowControl/>
        <w:jc w:val="left"/>
        <w:rPr>
          <w:b/>
          <w:bCs/>
          <w:color w:val="000000"/>
        </w:rPr>
      </w:pPr>
      <w:r>
        <w:rPr>
          <w:rFonts w:hint="eastAsia"/>
          <w:b/>
          <w:bCs/>
          <w:color w:val="000000"/>
        </w:rPr>
        <w:br w:type="page"/>
      </w:r>
    </w:p>
    <w:p w:rsidR="00E72973" w:rsidRDefault="00F0294F">
      <w:pPr>
        <w:pStyle w:val="dazhangjie"/>
        <w:rPr>
          <w:color w:val="000000"/>
        </w:rPr>
      </w:pPr>
      <w:r>
        <w:rPr>
          <w:rFonts w:hAnsi="Calibri" w:hint="eastAsia"/>
          <w:b/>
          <w:color w:val="000000"/>
        </w:rPr>
        <w:t>§1 产品概况</w:t>
      </w:r>
    </w:p>
    <w:p w:rsidR="00E72973" w:rsidRDefault="00E72973">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pPr>
            <w:r>
              <w:rPr>
                <w:rFonts w:hint="eastAsia"/>
              </w:rPr>
              <w:t>南银理财珠联璧合安稳1905一年定开公募人民币理财产品</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pPr>
            <w:r>
              <w:rPr>
                <w:rFonts w:hint="eastAsia"/>
              </w:rPr>
              <w:t>Z7003221000026（投资者可依据该编码在中国理财网www.chinawealth.com.cn查询理财产品相关信息）</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开放式净值型</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color w:val="000000"/>
              </w:rPr>
              <w:t>2019年05月09日</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A661C0">
            <w:pPr>
              <w:pStyle w:val="biaogeleft"/>
              <w:wordWrap w:val="0"/>
            </w:pPr>
            <w:r>
              <w:t>3,340,182,592.07份</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615114">
            <w:pPr>
              <w:pStyle w:val="biaogeleft"/>
              <w:wordWrap w:val="0"/>
              <w:rPr>
                <w:color w:val="000000"/>
              </w:rPr>
            </w:pPr>
            <w:r>
              <w:rPr>
                <w:rFonts w:hint="eastAsia"/>
                <w:color w:val="000000"/>
              </w:rPr>
              <w:t>-</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neirong"/>
              <w:wordWrap w:val="0"/>
              <w:rPr>
                <w:color w:val="000000"/>
              </w:rPr>
            </w:pPr>
            <w:r>
              <w:rPr>
                <w:color w:val="000000"/>
              </w:rPr>
              <w:t>南银理财有限责任公司</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color w:val="000000"/>
              </w:rPr>
              <w:t>南京银行股份有限公司</w:t>
            </w:r>
          </w:p>
        </w:tc>
      </w:tr>
    </w:tbl>
    <w:p w:rsidR="00E72973" w:rsidRDefault="00E72973">
      <w:pPr>
        <w:widowControl/>
        <w:jc w:val="left"/>
        <w:rPr>
          <w:rFonts w:ascii="宋体" w:hAnsi="宋体" w:cs="宋体"/>
          <w:color w:val="000000"/>
          <w:kern w:val="0"/>
          <w:sz w:val="24"/>
          <w:szCs w:val="24"/>
        </w:rPr>
      </w:pPr>
    </w:p>
    <w:p w:rsidR="00E72973" w:rsidRDefault="006857F2">
      <w:pPr>
        <w:pStyle w:val="dazhangjie"/>
        <w:rPr>
          <w:color w:val="000000"/>
        </w:rPr>
      </w:pPr>
      <w:r>
        <w:rPr>
          <w:rFonts w:hAnsi="Calibri" w:hint="eastAsia"/>
          <w:b/>
          <w:color w:val="000000"/>
        </w:rPr>
        <w:t>§2  主要财务指标和产品</w:t>
      </w:r>
      <w:r>
        <w:rPr>
          <w:rFonts w:hint="eastAsia"/>
          <w:b/>
          <w:bCs/>
          <w:color w:val="000000"/>
        </w:rPr>
        <w:t>业绩比较基准</w:t>
      </w:r>
    </w:p>
    <w:p w:rsidR="00E72973" w:rsidRDefault="00F0294F">
      <w:pPr>
        <w:pStyle w:val="zhangjiep"/>
        <w:ind w:left="0"/>
        <w:rPr>
          <w:color w:val="000000"/>
        </w:rPr>
      </w:pPr>
      <w:r>
        <w:rPr>
          <w:rFonts w:hint="eastAsia"/>
          <w:b/>
          <w:bCs/>
          <w:color w:val="000000"/>
        </w:rPr>
        <w:t>2.1 主要财务指标</w:t>
      </w:r>
    </w:p>
    <w:p w:rsidR="00E72973" w:rsidRDefault="00F0294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166A35" w:rsidTr="002A490A">
        <w:tc>
          <w:tcPr>
            <w:tcW w:w="4135" w:type="dxa"/>
            <w:noWrap/>
            <w:vAlign w:val="center"/>
          </w:tcPr>
          <w:p w:rsidR="00166A35" w:rsidRDefault="00166A35">
            <w:pPr>
              <w:pStyle w:val="a6"/>
              <w:wordWrap w:val="0"/>
              <w:jc w:val="center"/>
              <w:rPr>
                <w:b/>
                <w:bCs/>
                <w:color w:val="000000"/>
              </w:rPr>
            </w:pPr>
            <w:r>
              <w:rPr>
                <w:rFonts w:hint="eastAsia"/>
                <w:b/>
                <w:bCs/>
                <w:color w:val="000000"/>
              </w:rPr>
              <w:t>主要财务指标</w:t>
            </w:r>
          </w:p>
        </w:tc>
        <w:tc>
          <w:tcPr>
            <w:tcW w:w="5187" w:type="dxa"/>
            <w:noWrap/>
          </w:tcPr>
          <w:p w:rsidR="00166A35" w:rsidRDefault="00A661C0" w:rsidP="00992B0C">
            <w:pPr>
              <w:pStyle w:val="zhangjiep"/>
              <w:jc w:val="center"/>
              <w:rPr>
                <w:b/>
                <w:bCs/>
                <w:color w:val="000000"/>
              </w:rPr>
            </w:pPr>
            <w:r>
              <w:rPr>
                <w:rFonts w:hint="eastAsia"/>
              </w:rPr>
              <w:t>报告期（</w:t>
            </w:r>
            <w:r>
              <w:t>2022年7月1日 - 2022年9月30日）</w:t>
            </w:r>
          </w:p>
        </w:tc>
      </w:tr>
      <w:tr w:rsidR="00E72973">
        <w:tc>
          <w:tcPr>
            <w:tcW w:w="4135" w:type="dxa"/>
            <w:noWrap/>
            <w:vAlign w:val="center"/>
          </w:tcPr>
          <w:p w:rsidR="00E72973" w:rsidRDefault="00F0294F">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E72973" w:rsidRDefault="00A661C0">
            <w:pPr>
              <w:pStyle w:val="biaogeright"/>
              <w:jc w:val="center"/>
              <w:rPr>
                <w:b/>
                <w:bCs/>
                <w:color w:val="000000"/>
              </w:rPr>
            </w:pPr>
            <w:r>
              <w:rPr>
                <w:color w:val="000000"/>
              </w:rPr>
              <w:t>3,389,572,261.39</w:t>
            </w:r>
          </w:p>
        </w:tc>
      </w:tr>
      <w:tr w:rsidR="00E72973">
        <w:tc>
          <w:tcPr>
            <w:tcW w:w="4135" w:type="dxa"/>
            <w:noWrap/>
            <w:vAlign w:val="center"/>
          </w:tcPr>
          <w:p w:rsidR="00E72973" w:rsidRDefault="00F0294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E72973" w:rsidRDefault="00A661C0">
            <w:pPr>
              <w:pStyle w:val="biaogeright"/>
              <w:jc w:val="center"/>
              <w:rPr>
                <w:b/>
                <w:bCs/>
                <w:color w:val="000000"/>
              </w:rPr>
            </w:pPr>
            <w:r>
              <w:rPr>
                <w:color w:val="000000"/>
              </w:rPr>
              <w:t>1.0147</w:t>
            </w:r>
          </w:p>
        </w:tc>
      </w:tr>
      <w:tr w:rsidR="00E72973">
        <w:tc>
          <w:tcPr>
            <w:tcW w:w="4135" w:type="dxa"/>
            <w:noWrap/>
            <w:vAlign w:val="center"/>
          </w:tcPr>
          <w:p w:rsidR="00E72973" w:rsidRDefault="00F0294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E72973" w:rsidRDefault="00A661C0">
            <w:pPr>
              <w:pStyle w:val="biaogeright"/>
              <w:jc w:val="center"/>
              <w:rPr>
                <w:b/>
                <w:bCs/>
                <w:color w:val="000000"/>
              </w:rPr>
            </w:pPr>
            <w:r>
              <w:rPr>
                <w:color w:val="000000"/>
              </w:rPr>
              <w:t>1.1601</w:t>
            </w:r>
          </w:p>
        </w:tc>
      </w:tr>
    </w:tbl>
    <w:p w:rsidR="00E72973" w:rsidRDefault="00F0294F">
      <w:pPr>
        <w:pStyle w:val="biaogeleft"/>
        <w:ind w:left="0"/>
        <w:rPr>
          <w:color w:val="000000"/>
        </w:rPr>
      </w:pPr>
      <w:r>
        <w:rPr>
          <w:rFonts w:hint="eastAsia"/>
        </w:rPr>
        <w:t>注：产品净值可能存在未扣除管理人及投资合作机构业绩报酬、赎回费等费用（如有）的情况，实际收益以兑付为准。</w:t>
      </w:r>
    </w:p>
    <w:p w:rsidR="003146EB" w:rsidRDefault="003146EB" w:rsidP="003146EB">
      <w:pPr>
        <w:pStyle w:val="biaogeleft"/>
        <w:ind w:left="0"/>
        <w:rPr>
          <w:color w:val="000000"/>
        </w:rPr>
      </w:pPr>
    </w:p>
    <w:p w:rsidR="003146EB" w:rsidRDefault="003146EB" w:rsidP="003146EB">
      <w:pPr>
        <w:pStyle w:val="zhangjiep"/>
        <w:ind w:left="0"/>
        <w:rPr>
          <w:color w:val="000000"/>
        </w:rPr>
      </w:pPr>
      <w:r>
        <w:rPr>
          <w:rFonts w:hint="eastAsia"/>
          <w:b/>
          <w:bCs/>
          <w:color w:val="000000"/>
        </w:rPr>
        <w:t>2.2 产品业绩比较基准</w:t>
      </w:r>
    </w:p>
    <w:p w:rsidR="003146EB" w:rsidRDefault="003146EB" w:rsidP="003146EB">
      <w:pPr>
        <w:pStyle w:val="zhangjiep2"/>
        <w:rPr>
          <w:b/>
          <w:bCs/>
          <w:color w:val="000000"/>
        </w:rPr>
      </w:pPr>
      <w:r>
        <w:rPr>
          <w:rFonts w:hint="eastAsia"/>
          <w:b/>
          <w:bCs/>
          <w:color w:val="000000"/>
        </w:rPr>
        <w:t>2.2.1本报告期产品业绩比较基准</w:t>
      </w:r>
    </w:p>
    <w:tbl>
      <w:tblPr>
        <w:tblW w:w="6379" w:type="dxa"/>
        <w:tblInd w:w="108" w:type="dxa"/>
        <w:tblLayout w:type="fixed"/>
        <w:tblLook w:val="04A0"/>
      </w:tblPr>
      <w:tblGrid>
        <w:gridCol w:w="4105"/>
        <w:gridCol w:w="2274"/>
      </w:tblGrid>
      <w:tr w:rsidR="003146EB" w:rsidTr="00AF7E51">
        <w:tc>
          <w:tcPr>
            <w:tcW w:w="4105" w:type="dxa"/>
            <w:tcBorders>
              <w:top w:val="single" w:sz="8" w:space="0" w:color="000000"/>
              <w:left w:val="single" w:sz="8" w:space="0" w:color="000000"/>
              <w:bottom w:val="single" w:sz="6" w:space="0" w:color="000000"/>
              <w:right w:val="single" w:sz="8" w:space="0" w:color="000000"/>
            </w:tcBorders>
            <w:vAlign w:val="center"/>
          </w:tcPr>
          <w:p w:rsidR="003146EB" w:rsidRDefault="003146EB" w:rsidP="00AF7E51">
            <w:pPr>
              <w:pStyle w:val="biaogecenter"/>
              <w:wordWrap w:val="0"/>
              <w:rPr>
                <w:color w:val="000000"/>
              </w:rPr>
            </w:pPr>
            <w:r>
              <w:rPr>
                <w:rFonts w:hAnsi="Calibri" w:hint="eastAsia"/>
                <w:color w:val="000000"/>
              </w:rPr>
              <w:t>阶段</w:t>
            </w:r>
          </w:p>
        </w:tc>
        <w:tc>
          <w:tcPr>
            <w:tcW w:w="2274" w:type="dxa"/>
            <w:tcBorders>
              <w:top w:val="single" w:sz="8" w:space="0" w:color="000000"/>
              <w:left w:val="single" w:sz="8" w:space="0" w:color="000000"/>
              <w:bottom w:val="single" w:sz="6" w:space="0" w:color="000000"/>
              <w:right w:val="single" w:sz="8" w:space="0" w:color="000000"/>
            </w:tcBorders>
            <w:vAlign w:val="center"/>
          </w:tcPr>
          <w:p w:rsidR="003146EB" w:rsidRDefault="003146EB" w:rsidP="00AF7E51">
            <w:pPr>
              <w:pStyle w:val="biaogecenter"/>
              <w:wordWrap w:val="0"/>
              <w:rPr>
                <w:color w:val="000000"/>
              </w:rPr>
            </w:pPr>
            <w:r>
              <w:rPr>
                <w:rFonts w:hAnsi="Calibri" w:hint="eastAsia"/>
                <w:color w:val="000000"/>
              </w:rPr>
              <w:t>业绩比较基准</w:t>
            </w:r>
          </w:p>
        </w:tc>
      </w:tr>
      <w:tr w:rsidR="00166A35" w:rsidTr="00AF7E51">
        <w:tc>
          <w:tcPr>
            <w:tcW w:w="4105" w:type="dxa"/>
            <w:tcBorders>
              <w:top w:val="single" w:sz="8" w:space="0" w:color="000000"/>
              <w:left w:val="single" w:sz="8" w:space="0" w:color="000000"/>
              <w:bottom w:val="single" w:sz="6" w:space="0" w:color="000000"/>
              <w:right w:val="single" w:sz="8" w:space="0" w:color="000000"/>
            </w:tcBorders>
            <w:vAlign w:val="center"/>
          </w:tcPr>
          <w:p w:rsidR="00166A35" w:rsidRDefault="00166A35" w:rsidP="00992B0C">
            <w:pPr>
              <w:pStyle w:val="biaogeleft"/>
              <w:wordWrap w:val="0"/>
              <w:rPr>
                <w:color w:val="000000"/>
              </w:rPr>
            </w:pPr>
            <w:r w:rsidRPr="00C20B0A">
              <w:rPr>
                <w:rFonts w:hint="eastAsia"/>
              </w:rPr>
              <w:t>2022年0</w:t>
            </w:r>
            <w:r>
              <w:rPr>
                <w:rFonts w:hint="eastAsia"/>
              </w:rPr>
              <w:t>7</w:t>
            </w:r>
            <w:r w:rsidRPr="00C20B0A">
              <w:rPr>
                <w:rFonts w:hint="eastAsia"/>
              </w:rPr>
              <w:t>月01日 - 2022年0</w:t>
            </w:r>
            <w:r>
              <w:rPr>
                <w:rFonts w:hint="eastAsia"/>
              </w:rPr>
              <w:t>9</w:t>
            </w:r>
            <w:r w:rsidRPr="00C20B0A">
              <w:rPr>
                <w:rFonts w:hint="eastAsia"/>
              </w:rPr>
              <w:t>月30日</w:t>
            </w:r>
          </w:p>
        </w:tc>
        <w:tc>
          <w:tcPr>
            <w:tcW w:w="2274" w:type="dxa"/>
            <w:tcBorders>
              <w:top w:val="single" w:sz="8" w:space="0" w:color="000000"/>
              <w:left w:val="single" w:sz="8" w:space="0" w:color="000000"/>
              <w:bottom w:val="single" w:sz="6" w:space="0" w:color="000000"/>
              <w:right w:val="single" w:sz="8" w:space="0" w:color="000000"/>
            </w:tcBorders>
            <w:vAlign w:val="center"/>
          </w:tcPr>
          <w:p w:rsidR="00166A35" w:rsidRDefault="0066105F" w:rsidP="00AF7E51">
            <w:pPr>
              <w:pStyle w:val="biaogeright"/>
              <w:wordWrap w:val="0"/>
              <w:rPr>
                <w:color w:val="000000"/>
              </w:rPr>
            </w:pPr>
            <w:r>
              <w:rPr>
                <w:rFonts w:hAnsi="Calibri" w:hint="eastAsia"/>
                <w:color w:val="000000"/>
              </w:rPr>
              <w:t>4.12</w:t>
            </w:r>
            <w:r w:rsidR="00166A35" w:rsidRPr="00BB004B">
              <w:rPr>
                <w:rFonts w:hAnsi="Calibri"/>
                <w:color w:val="000000"/>
              </w:rPr>
              <w:t>%</w:t>
            </w:r>
          </w:p>
        </w:tc>
      </w:tr>
    </w:tbl>
    <w:p w:rsidR="00E72973" w:rsidRDefault="00E72973">
      <w:pPr>
        <w:widowControl/>
        <w:jc w:val="left"/>
        <w:rPr>
          <w:rFonts w:ascii="宋体" w:hAnsi="宋体" w:cs="宋体"/>
          <w:color w:val="000000"/>
          <w:kern w:val="0"/>
          <w:sz w:val="24"/>
          <w:szCs w:val="24"/>
        </w:rPr>
      </w:pPr>
    </w:p>
    <w:p w:rsidR="00E72973" w:rsidRDefault="00F0294F">
      <w:pPr>
        <w:pStyle w:val="dazhangjie"/>
        <w:rPr>
          <w:color w:val="000000"/>
        </w:rPr>
      </w:pPr>
      <w:r>
        <w:rPr>
          <w:rFonts w:hAnsi="Calibri" w:hint="eastAsia"/>
          <w:b/>
          <w:color w:val="000000"/>
        </w:rPr>
        <w:t>§3  管理人报告</w:t>
      </w:r>
    </w:p>
    <w:p w:rsidR="00166A35" w:rsidRDefault="00166A35" w:rsidP="00166A35">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0F55F9" w:rsidRPr="000F55F9" w:rsidRDefault="000F55F9" w:rsidP="000F55F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月央行超预期降息，资金利率不断走低，债市收益率继续下行。随着稳增长政策的加码与持续推进，国内经济与金融数据</w:t>
      </w:r>
      <w:r w:rsidRPr="000F55F9">
        <w:rPr>
          <w:rFonts w:ascii="宋体" w:hAnsi="宋体" w:hint="eastAsia"/>
          <w:color w:val="000000"/>
          <w:kern w:val="0"/>
          <w:sz w:val="24"/>
          <w:szCs w:val="24"/>
        </w:rPr>
        <w:lastRenderedPageBreak/>
        <w:t>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0F55F9" w:rsidRPr="000F55F9" w:rsidRDefault="000F55F9" w:rsidP="000F55F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166A35" w:rsidRPr="000F55F9" w:rsidRDefault="000F55F9" w:rsidP="000F55F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166A35" w:rsidRDefault="00166A35" w:rsidP="00166A35">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425170" w:rsidRPr="000F55F9" w:rsidRDefault="000F55F9" w:rsidP="000F55F9">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E72973" w:rsidRDefault="00F0294F">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A661C0" w:rsidRDefault="000F55F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A661C0">
        <w:rPr>
          <w:rFonts w:ascii="宋体" w:hAnsi="宋体"/>
          <w:color w:val="000000"/>
          <w:kern w:val="0"/>
          <w:sz w:val="24"/>
          <w:szCs w:val="24"/>
        </w:rPr>
        <w:t>截至报告期末,本产品份额净值为1.0147元。</w:t>
      </w:r>
    </w:p>
    <w:p w:rsidR="00E72973" w:rsidRDefault="00E72973">
      <w:pPr>
        <w:spacing w:line="360" w:lineRule="auto"/>
        <w:ind w:firstLineChars="200" w:firstLine="480"/>
        <w:rPr>
          <w:rFonts w:ascii="宋体" w:hAnsi="宋体"/>
          <w:sz w:val="24"/>
          <w:szCs w:val="24"/>
        </w:rPr>
      </w:pPr>
    </w:p>
    <w:p w:rsidR="00E72973" w:rsidRDefault="00F0294F">
      <w:pPr>
        <w:pStyle w:val="dazhangjie"/>
        <w:rPr>
          <w:color w:val="000000"/>
        </w:rPr>
      </w:pPr>
      <w:r>
        <w:rPr>
          <w:rFonts w:hAnsi="Calibri" w:hint="eastAsia"/>
          <w:b/>
          <w:color w:val="000000"/>
        </w:rPr>
        <w:t>§4  投资组合报告</w:t>
      </w:r>
    </w:p>
    <w:p w:rsidR="00E72973" w:rsidRDefault="00F0294F">
      <w:pPr>
        <w:pStyle w:val="zhangjiep"/>
        <w:ind w:left="0"/>
      </w:pPr>
      <w:r>
        <w:rPr>
          <w:rFonts w:hint="eastAsia"/>
          <w:b/>
          <w:bCs/>
        </w:rPr>
        <w:t>4.1 报告期末产品资产组合情况</w:t>
      </w:r>
    </w:p>
    <w:tbl>
      <w:tblPr>
        <w:tblW w:w="0" w:type="auto"/>
        <w:tblInd w:w="108" w:type="dxa"/>
        <w:tblLayout w:type="fixed"/>
        <w:tblLook w:val="04A0"/>
      </w:tblPr>
      <w:tblGrid>
        <w:gridCol w:w="891"/>
        <w:gridCol w:w="2795"/>
        <w:gridCol w:w="2850"/>
        <w:gridCol w:w="2395"/>
      </w:tblGrid>
      <w:tr w:rsidR="00E72973">
        <w:tc>
          <w:tcPr>
            <w:tcW w:w="891" w:type="dxa"/>
            <w:tcBorders>
              <w:top w:val="single" w:sz="8" w:space="0" w:color="000000"/>
              <w:left w:val="single" w:sz="8" w:space="0" w:color="000000"/>
              <w:bottom w:val="single" w:sz="8" w:space="0" w:color="000000"/>
              <w:right w:val="single" w:sz="8" w:space="0" w:color="000000"/>
            </w:tcBorders>
            <w:noWrap/>
            <w:vAlign w:val="bottom"/>
          </w:tcPr>
          <w:p w:rsidR="00E72973" w:rsidRDefault="00F0294F">
            <w:pPr>
              <w:pStyle w:val="biaogecenter"/>
              <w:rPr>
                <w:color w:val="000000"/>
              </w:rPr>
            </w:pPr>
            <w:r>
              <w:rPr>
                <w:rFonts w:hint="eastAsia"/>
                <w:color w:val="000000"/>
              </w:rPr>
              <w:t>序号</w:t>
            </w:r>
          </w:p>
        </w:tc>
        <w:tc>
          <w:tcPr>
            <w:tcW w:w="2795" w:type="dxa"/>
            <w:tcBorders>
              <w:top w:val="single" w:sz="8" w:space="0" w:color="000000"/>
              <w:left w:val="single" w:sz="8" w:space="0" w:color="000000"/>
              <w:bottom w:val="single" w:sz="8" w:space="0" w:color="000000"/>
              <w:right w:val="single" w:sz="8" w:space="0" w:color="000000"/>
            </w:tcBorders>
            <w:noWrap/>
            <w:vAlign w:val="bottom"/>
          </w:tcPr>
          <w:p w:rsidR="00E72973" w:rsidRDefault="00F0294F">
            <w:pPr>
              <w:pStyle w:val="biaogecenter"/>
              <w:rPr>
                <w:color w:val="000000"/>
              </w:rPr>
            </w:pPr>
            <w:r>
              <w:rPr>
                <w:rFonts w:hint="eastAsia"/>
                <w:color w:val="000000"/>
              </w:rPr>
              <w:t>资产类别</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rPr>
                <w:color w:val="000000"/>
              </w:rPr>
            </w:pPr>
            <w:r>
              <w:rPr>
                <w:rFonts w:hint="eastAsia"/>
                <w:color w:val="000000"/>
              </w:rPr>
              <w:t>穿透后占总资产比例</w:t>
            </w:r>
          </w:p>
        </w:tc>
      </w:tr>
      <w:tr w:rsidR="00657071">
        <w:tc>
          <w:tcPr>
            <w:tcW w:w="891" w:type="dxa"/>
            <w:tcBorders>
              <w:top w:val="single" w:sz="8" w:space="0" w:color="000000"/>
              <w:left w:val="single" w:sz="8" w:space="0" w:color="000000"/>
              <w:bottom w:val="single" w:sz="8" w:space="0" w:color="000000"/>
              <w:right w:val="single" w:sz="8" w:space="0" w:color="000000"/>
            </w:tcBorders>
            <w:noWrap/>
            <w:vAlign w:val="bottom"/>
          </w:tcPr>
          <w:p w:rsidR="00657071" w:rsidRDefault="00657071">
            <w:pPr>
              <w:pStyle w:val="biaogecenter"/>
              <w:rPr>
                <w:color w:val="000000"/>
              </w:rPr>
            </w:pPr>
            <w:r>
              <w:rPr>
                <w:rFonts w:hint="eastAsia"/>
                <w:color w:val="000000"/>
              </w:rPr>
              <w:t>1</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rFonts w:hint="eastAsia"/>
                <w:color w:val="000000"/>
              </w:rPr>
              <w:t>固定收益类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100.00%</w:t>
            </w:r>
          </w:p>
        </w:tc>
      </w:tr>
      <w:tr w:rsidR="00657071">
        <w:tc>
          <w:tcPr>
            <w:tcW w:w="891" w:type="dxa"/>
            <w:tcBorders>
              <w:top w:val="single" w:sz="8" w:space="0" w:color="000000"/>
              <w:left w:val="single" w:sz="8" w:space="0" w:color="000000"/>
              <w:bottom w:val="single" w:sz="8" w:space="0" w:color="000000"/>
              <w:right w:val="single" w:sz="8" w:space="0" w:color="000000"/>
            </w:tcBorders>
            <w:noWrap/>
            <w:vAlign w:val="bottom"/>
          </w:tcPr>
          <w:p w:rsidR="00657071" w:rsidRDefault="00657071">
            <w:pPr>
              <w:pStyle w:val="biaogecenter"/>
              <w:rPr>
                <w:color w:val="000000"/>
              </w:rPr>
            </w:pPr>
            <w:r>
              <w:rPr>
                <w:rFonts w:hint="eastAsia"/>
                <w:color w:val="000000"/>
              </w:rPr>
              <w:lastRenderedPageBreak/>
              <w:t>2</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rFonts w:hint="eastAsia"/>
                <w:color w:val="000000"/>
              </w:rPr>
              <w:t>权益类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0.00%</w:t>
            </w:r>
          </w:p>
        </w:tc>
      </w:tr>
      <w:tr w:rsidR="00657071">
        <w:tc>
          <w:tcPr>
            <w:tcW w:w="891" w:type="dxa"/>
            <w:tcBorders>
              <w:top w:val="single" w:sz="8" w:space="0" w:color="000000"/>
              <w:left w:val="single" w:sz="8" w:space="0" w:color="000000"/>
              <w:bottom w:val="single" w:sz="8" w:space="0" w:color="000000"/>
              <w:right w:val="single" w:sz="8" w:space="0" w:color="000000"/>
            </w:tcBorders>
            <w:noWrap/>
            <w:vAlign w:val="bottom"/>
          </w:tcPr>
          <w:p w:rsidR="00657071" w:rsidRDefault="00657071">
            <w:pPr>
              <w:pStyle w:val="biaogecenter"/>
              <w:rPr>
                <w:color w:val="000000"/>
              </w:rPr>
            </w:pPr>
            <w:r>
              <w:rPr>
                <w:rFonts w:hint="eastAsia"/>
                <w:color w:val="000000"/>
              </w:rPr>
              <w:t>3</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rFonts w:hint="eastAsia"/>
                <w:color w:val="000000"/>
              </w:rPr>
              <w:t>商品及金融衍生品类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0.00%</w:t>
            </w:r>
          </w:p>
        </w:tc>
      </w:tr>
      <w:tr w:rsidR="00657071">
        <w:tc>
          <w:tcPr>
            <w:tcW w:w="891" w:type="dxa"/>
            <w:tcBorders>
              <w:top w:val="single" w:sz="8" w:space="0" w:color="000000"/>
              <w:left w:val="single" w:sz="8" w:space="0" w:color="000000"/>
              <w:bottom w:val="single" w:sz="8" w:space="0" w:color="000000"/>
              <w:right w:val="single" w:sz="8" w:space="0" w:color="000000"/>
            </w:tcBorders>
            <w:noWrap/>
            <w:vAlign w:val="bottom"/>
          </w:tcPr>
          <w:p w:rsidR="00657071" w:rsidRDefault="00657071">
            <w:pPr>
              <w:pStyle w:val="biaogecenter"/>
              <w:rPr>
                <w:color w:val="000000"/>
              </w:rPr>
            </w:pPr>
            <w:r>
              <w:rPr>
                <w:rFonts w:hint="eastAsia"/>
                <w:color w:val="000000"/>
              </w:rPr>
              <w:t>4</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rFonts w:hint="eastAsia"/>
                <w:color w:val="000000"/>
              </w:rPr>
              <w:t>混合类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0.00%</w:t>
            </w:r>
          </w:p>
        </w:tc>
      </w:tr>
      <w:tr w:rsidR="00657071">
        <w:tc>
          <w:tcPr>
            <w:tcW w:w="891" w:type="dxa"/>
            <w:tcBorders>
              <w:top w:val="single" w:sz="8" w:space="0" w:color="000000"/>
              <w:left w:val="single" w:sz="8" w:space="0" w:color="000000"/>
              <w:bottom w:val="single" w:sz="8" w:space="0" w:color="000000"/>
              <w:right w:val="single" w:sz="8" w:space="0" w:color="000000"/>
            </w:tcBorders>
            <w:noWrap/>
            <w:vAlign w:val="bottom"/>
          </w:tcPr>
          <w:p w:rsidR="00657071" w:rsidRDefault="00657071">
            <w:pPr>
              <w:pStyle w:val="biaogecenter"/>
              <w:rPr>
                <w:color w:val="000000"/>
              </w:rPr>
            </w:pPr>
            <w:r>
              <w:rPr>
                <w:rFonts w:hint="eastAsia"/>
                <w:color w:val="000000"/>
              </w:rPr>
              <w:t>5</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rFonts w:hint="eastAsia"/>
                <w:color w:val="000000"/>
              </w:rPr>
              <w:t>合计</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57071" w:rsidRPr="006D2803" w:rsidRDefault="00657071" w:rsidP="00D24C4B">
            <w:pPr>
              <w:pStyle w:val="biaogecenter"/>
              <w:rPr>
                <w:color w:val="000000"/>
              </w:rPr>
            </w:pPr>
            <w:r w:rsidRPr="006D2803">
              <w:rPr>
                <w:color w:val="000000"/>
              </w:rPr>
              <w:t>100.00%</w:t>
            </w:r>
          </w:p>
        </w:tc>
      </w:tr>
    </w:tbl>
    <w:p w:rsidR="00E72973" w:rsidRDefault="00E72973">
      <w:pPr>
        <w:widowControl/>
        <w:jc w:val="left"/>
        <w:rPr>
          <w:rFonts w:ascii="宋体" w:hAnsi="宋体" w:cs="宋体"/>
          <w:color w:val="000000"/>
          <w:kern w:val="0"/>
          <w:sz w:val="24"/>
          <w:szCs w:val="24"/>
        </w:rPr>
      </w:pPr>
      <w:bookmarkStart w:id="0" w:name="_GoBack"/>
      <w:bookmarkEnd w:id="0"/>
    </w:p>
    <w:p w:rsidR="00E72973" w:rsidRDefault="00F0294F">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E72973">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占产品资产净值比例（％）</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22088732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22溧水城建01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300,161,362.59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8.86</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22088683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22宜兴城发03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300,067,081.23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8.85</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22088626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22江苏新海连02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200,097,789.68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5.90</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TYJKX202207180005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同业借款（长城金租）20220720</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199,900,781.62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5.90</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LRZCZ202207210021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融资业务债权收益权转让及远期受让-平安证券-安稳1905-第1期-20220726</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149,898,524.75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4.42</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TYJKX202208260004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同业借款（南银法巴消金）20220909</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149,862,995.54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4.42</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22088682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22陶都城发01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100,021,364.45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2.95</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22088657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22如东东泰02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100,020,536.46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2.95</w:t>
            </w:r>
          </w:p>
        </w:tc>
      </w:tr>
      <w:tr w:rsidR="00D45D6B">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167606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20如东01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60,000,489.08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1.77</w:t>
            </w:r>
          </w:p>
        </w:tc>
      </w:tr>
      <w:tr w:rsidR="00D45D6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45D6B" w:rsidRDefault="00D45D6B">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45D6B" w:rsidRPr="00D45D6B" w:rsidRDefault="00D45D6B" w:rsidP="00D45D6B">
            <w:pPr>
              <w:pStyle w:val="biaogecenter"/>
              <w:wordWrap w:val="0"/>
              <w:rPr>
                <w:color w:val="000000"/>
              </w:rPr>
            </w:pPr>
            <w:r w:rsidRPr="00D45D6B">
              <w:rPr>
                <w:rFonts w:hint="eastAsia"/>
                <w:color w:val="000000"/>
              </w:rPr>
              <w:t>032280196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22南京浦口PPN002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50,582,650.00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45D6B" w:rsidRPr="00D45D6B" w:rsidRDefault="00D45D6B" w:rsidP="00D45D6B">
            <w:pPr>
              <w:pStyle w:val="biaogecenter"/>
              <w:wordWrap w:val="0"/>
              <w:rPr>
                <w:color w:val="000000"/>
              </w:rPr>
            </w:pPr>
            <w:r w:rsidRPr="00D45D6B">
              <w:rPr>
                <w:rFonts w:hint="eastAsia"/>
                <w:color w:val="000000"/>
              </w:rPr>
              <w:t>1.49</w:t>
            </w:r>
          </w:p>
        </w:tc>
      </w:tr>
    </w:tbl>
    <w:p w:rsidR="00E72973" w:rsidRDefault="00E72973">
      <w:pPr>
        <w:widowControl/>
        <w:jc w:val="left"/>
        <w:rPr>
          <w:rFonts w:ascii="宋体" w:hAnsi="宋体" w:cs="宋体"/>
          <w:b/>
          <w:sz w:val="24"/>
          <w:szCs w:val="24"/>
          <w:shd w:val="clear" w:color="auto" w:fill="FFFFFF"/>
        </w:rPr>
      </w:pPr>
    </w:p>
    <w:p w:rsidR="00E72973" w:rsidRDefault="00F0294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E72973" w:rsidRDefault="00E72973">
      <w:pPr>
        <w:widowControl/>
        <w:jc w:val="left"/>
        <w:rPr>
          <w:b/>
          <w:shd w:val="clear" w:color="auto" w:fill="FFFFFF"/>
        </w:rPr>
      </w:pPr>
    </w:p>
    <w:tbl>
      <w:tblPr>
        <w:tblW w:w="0" w:type="auto"/>
        <w:tblInd w:w="108" w:type="dxa"/>
        <w:tblLayout w:type="fixed"/>
        <w:tblLook w:val="04A0"/>
      </w:tblPr>
      <w:tblGrid>
        <w:gridCol w:w="485"/>
        <w:gridCol w:w="1925"/>
        <w:gridCol w:w="2410"/>
        <w:gridCol w:w="992"/>
        <w:gridCol w:w="992"/>
        <w:gridCol w:w="1276"/>
        <w:gridCol w:w="851"/>
      </w:tblGrid>
      <w:tr w:rsidR="00E72973" w:rsidTr="00950692">
        <w:tc>
          <w:tcPr>
            <w:tcW w:w="485"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序号</w:t>
            </w:r>
          </w:p>
        </w:tc>
        <w:tc>
          <w:tcPr>
            <w:tcW w:w="1925"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融资客户</w:t>
            </w:r>
          </w:p>
        </w:tc>
        <w:tc>
          <w:tcPr>
            <w:tcW w:w="2410"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项目名称</w:t>
            </w:r>
          </w:p>
        </w:tc>
        <w:tc>
          <w:tcPr>
            <w:tcW w:w="992"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剩余融资期限</w:t>
            </w:r>
          </w:p>
        </w:tc>
        <w:tc>
          <w:tcPr>
            <w:tcW w:w="992"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风险状况</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1</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江苏新海连发展集团有限公司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22江苏新海连02</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236天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2</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南京溧水城市建设集团有限公司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22溧水城建01</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76天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3</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南银法巴消费金融有限公司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同业借款（南银法巴消金）20220909</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4</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江苏陶都城市发</w:t>
            </w:r>
            <w:r w:rsidRPr="00950692">
              <w:rPr>
                <w:rFonts w:hAnsi="Calibri" w:hint="eastAsia"/>
                <w:shd w:val="clear" w:color="auto" w:fill="FFFFFF"/>
              </w:rPr>
              <w:lastRenderedPageBreak/>
              <w:t>展投资有限公司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lastRenderedPageBreak/>
              <w:t>22陶都城发01</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w:t>
            </w:r>
            <w:r w:rsidRPr="00950692">
              <w:rPr>
                <w:rFonts w:hAnsi="Calibri" w:hint="eastAsia"/>
                <w:shd w:val="clear" w:color="auto" w:fill="FFFFFF"/>
              </w:rPr>
              <w:lastRenderedPageBreak/>
              <w:t>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lastRenderedPageBreak/>
              <w:t>理财直接</w:t>
            </w:r>
            <w:r w:rsidRPr="00950692">
              <w:rPr>
                <w:rFonts w:hAnsi="Calibri" w:hint="eastAsia"/>
                <w:shd w:val="clear" w:color="auto" w:fill="FFFFFF"/>
              </w:rPr>
              <w:lastRenderedPageBreak/>
              <w:t>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lastRenderedPageBreak/>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lastRenderedPageBreak/>
              <w:t>5</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如东县东泰社会发展投资有限责任公司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22如东东泰02</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238天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6</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平安证券股份有限公司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融资业务债权收益权转让及远期受让-平安证券-安稳1905-第1期-20220726</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带回购条款的股权性融资</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7</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渝农商金融租赁有限责任公司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同业借款（渝农商金租）20220035</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8</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长城国兴金融租赁有限公司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同业借款（长城金租）20220720</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9</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镇江城市建设产业集团有限公司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22镇江城建02</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r w:rsidR="00950692" w:rsidTr="00950692">
        <w:tc>
          <w:tcPr>
            <w:tcW w:w="485" w:type="dxa"/>
            <w:tcBorders>
              <w:top w:val="single" w:sz="8" w:space="0" w:color="000000"/>
              <w:left w:val="single" w:sz="8" w:space="0" w:color="000000"/>
              <w:bottom w:val="single" w:sz="8" w:space="0" w:color="000000"/>
              <w:right w:val="single" w:sz="8" w:space="0" w:color="000000"/>
            </w:tcBorders>
            <w:noWrap/>
            <w:vAlign w:val="center"/>
          </w:tcPr>
          <w:p w:rsidR="00950692" w:rsidRDefault="00950692">
            <w:pPr>
              <w:pStyle w:val="biaogecenter"/>
              <w:rPr>
                <w:rFonts w:hAnsi="Calibri"/>
                <w:shd w:val="clear" w:color="auto" w:fill="FFFFFF"/>
              </w:rPr>
            </w:pPr>
            <w:r>
              <w:rPr>
                <w:rFonts w:hAnsi="Calibri" w:hint="eastAsia"/>
                <w:shd w:val="clear" w:color="auto" w:fill="FFFFFF"/>
              </w:rPr>
              <w:t>10</w:t>
            </w:r>
          </w:p>
        </w:tc>
        <w:tc>
          <w:tcPr>
            <w:tcW w:w="1925"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宜兴市城市发展投资有限公司</w:t>
            </w:r>
          </w:p>
        </w:tc>
        <w:tc>
          <w:tcPr>
            <w:tcW w:w="2410"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22宜兴城发03</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241天</w:t>
            </w:r>
          </w:p>
        </w:tc>
        <w:tc>
          <w:tcPr>
            <w:tcW w:w="992"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50692" w:rsidRPr="00950692" w:rsidRDefault="00950692" w:rsidP="00950692">
            <w:pPr>
              <w:pStyle w:val="biaogecenter"/>
              <w:wordWrap w:val="0"/>
              <w:rPr>
                <w:rFonts w:hAnsi="Calibri"/>
                <w:shd w:val="clear" w:color="auto" w:fill="FFFFFF"/>
              </w:rPr>
            </w:pPr>
            <w:r w:rsidRPr="00950692">
              <w:rPr>
                <w:rFonts w:hAnsi="Calibri" w:hint="eastAsia"/>
                <w:shd w:val="clear" w:color="auto" w:fill="FFFFFF"/>
              </w:rPr>
              <w:t>-</w:t>
            </w:r>
          </w:p>
        </w:tc>
      </w:tr>
    </w:tbl>
    <w:p w:rsidR="00E72973" w:rsidRDefault="00E72973">
      <w:pPr>
        <w:widowControl/>
        <w:jc w:val="left"/>
        <w:rPr>
          <w:rFonts w:ascii="宋体" w:hAnsi="宋体" w:cs="宋体"/>
          <w:color w:val="000000"/>
          <w:kern w:val="0"/>
          <w:sz w:val="24"/>
          <w:szCs w:val="24"/>
        </w:rPr>
      </w:pPr>
    </w:p>
    <w:p w:rsidR="00E72973" w:rsidRDefault="00F0294F">
      <w:pPr>
        <w:pStyle w:val="dazhangjie"/>
        <w:rPr>
          <w:b/>
          <w:bCs/>
          <w:color w:val="000000"/>
        </w:rPr>
      </w:pPr>
      <w:r>
        <w:rPr>
          <w:rFonts w:hint="eastAsia"/>
          <w:b/>
          <w:bCs/>
          <w:color w:val="000000"/>
        </w:rPr>
        <w:t>§5 投资账户信息</w:t>
      </w:r>
    </w:p>
    <w:tbl>
      <w:tblPr>
        <w:tblW w:w="4939" w:type="pct"/>
        <w:tblInd w:w="109" w:type="dxa"/>
        <w:tblLook w:val="04A0"/>
      </w:tblPr>
      <w:tblGrid>
        <w:gridCol w:w="712"/>
        <w:gridCol w:w="1316"/>
        <w:gridCol w:w="2388"/>
        <w:gridCol w:w="3460"/>
        <w:gridCol w:w="1316"/>
      </w:tblGrid>
      <w:tr w:rsidR="00E72973" w:rsidTr="00FC7300">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rPr>
                <w:shd w:val="clear" w:color="auto" w:fill="FFFFFF"/>
              </w:rPr>
            </w:pPr>
            <w:r>
              <w:rPr>
                <w:rFonts w:hAnsi="Calibri" w:hint="eastAsia"/>
                <w:shd w:val="clear" w:color="auto" w:fill="FFFFFF"/>
              </w:rPr>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开户单位</w:t>
            </w:r>
          </w:p>
        </w:tc>
      </w:tr>
      <w:tr w:rsidR="00E72973" w:rsidTr="00FC7300">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E72973" w:rsidRDefault="00F0294F">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shd w:val="clear" w:color="auto" w:fill="FFFFFF"/>
              </w:rPr>
              <w:t>0120080000000273</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shd w:val="clear" w:color="auto" w:fill="FFFFFF"/>
              </w:rPr>
              <w:t>南京银行安稳1905一年定开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shd w:val="clear" w:color="auto" w:fill="FFFFFF"/>
              </w:rPr>
              <w:t>南京银行</w:t>
            </w:r>
          </w:p>
        </w:tc>
      </w:tr>
    </w:tbl>
    <w:p w:rsidR="00FC7300" w:rsidRDefault="00FC7300" w:rsidP="00FC7300">
      <w:pPr>
        <w:pStyle w:val="dazhangjie"/>
        <w:rPr>
          <w:b/>
          <w:bCs/>
          <w:color w:val="000000"/>
        </w:rPr>
      </w:pPr>
    </w:p>
    <w:p w:rsidR="0063518F" w:rsidRDefault="0063518F" w:rsidP="0063518F">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hAnsi="宋体"/>
          <w:sz w:val="24"/>
        </w:rPr>
        <w:t>150,000,000.00</w:t>
      </w:r>
      <w:r>
        <w:rPr>
          <w:rFonts w:ascii="宋体" w:hAnsi="宋体" w:hint="eastAsia"/>
          <w:sz w:val="24"/>
        </w:rPr>
        <w:t>元。</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30,003,024.66</w:t>
      </w:r>
      <w:r>
        <w:rPr>
          <w:rFonts w:ascii="宋体" w:hAnsi="宋体" w:hint="eastAsia"/>
          <w:sz w:val="24"/>
        </w:rPr>
        <w:t>元。</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134,364,673.97</w:t>
      </w:r>
      <w:r>
        <w:rPr>
          <w:rFonts w:ascii="宋体" w:hAnsi="宋体" w:hint="eastAsia"/>
          <w:sz w:val="24"/>
        </w:rPr>
        <w:t>元。</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110411">
        <w:rPr>
          <w:rFonts w:ascii="宋体" w:hAnsi="宋体" w:hint="eastAsia"/>
          <w:sz w:val="24"/>
        </w:rPr>
        <w:t>应</w:t>
      </w:r>
      <w:r>
        <w:rPr>
          <w:rFonts w:ascii="宋体" w:hAnsi="宋体" w:hint="eastAsia"/>
          <w:sz w:val="24"/>
        </w:rPr>
        <w:t>支付关联方托管费</w:t>
      </w:r>
      <w:r>
        <w:rPr>
          <w:rFonts w:ascii="宋体" w:hAnsi="宋体"/>
          <w:sz w:val="24"/>
        </w:rPr>
        <w:t>168,382.08</w:t>
      </w:r>
      <w:r>
        <w:rPr>
          <w:rFonts w:ascii="宋体" w:hAnsi="宋体" w:hint="eastAsia"/>
          <w:sz w:val="24"/>
        </w:rPr>
        <w:t>元，</w:t>
      </w:r>
      <w:r w:rsidR="00110411">
        <w:rPr>
          <w:rFonts w:ascii="宋体" w:hAnsi="宋体" w:hint="eastAsia"/>
          <w:sz w:val="24"/>
        </w:rPr>
        <w:t>应</w:t>
      </w:r>
      <w:r>
        <w:rPr>
          <w:rFonts w:ascii="宋体" w:hAnsi="宋体" w:hint="eastAsia"/>
          <w:sz w:val="24"/>
        </w:rPr>
        <w:t>支付关联方代销费</w:t>
      </w:r>
      <w:r>
        <w:rPr>
          <w:rFonts w:ascii="宋体" w:hAnsi="宋体"/>
          <w:sz w:val="24"/>
        </w:rPr>
        <w:t>1,657,882.78</w:t>
      </w:r>
      <w:r>
        <w:rPr>
          <w:rFonts w:ascii="宋体" w:hAnsi="宋体" w:hint="eastAsia"/>
          <w:sz w:val="24"/>
        </w:rPr>
        <w:t>元。</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63518F" w:rsidRDefault="0063518F" w:rsidP="0063518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lastRenderedPageBreak/>
        <w:t>报告期内，产品未发生重大关联交易。</w:t>
      </w:r>
    </w:p>
    <w:p w:rsidR="00880C1A" w:rsidRPr="0063518F" w:rsidRDefault="00880C1A" w:rsidP="00880C1A">
      <w:pPr>
        <w:pStyle w:val="dazhangjie"/>
        <w:jc w:val="left"/>
        <w:rPr>
          <w:b/>
          <w:bCs/>
          <w:color w:val="000000"/>
        </w:rPr>
      </w:pPr>
    </w:p>
    <w:p w:rsidR="00880C1A" w:rsidRDefault="00880C1A" w:rsidP="00880C1A">
      <w:pPr>
        <w:pStyle w:val="dazhangjie"/>
        <w:jc w:val="left"/>
        <w:rPr>
          <w:b/>
          <w:bCs/>
          <w:color w:val="000000"/>
        </w:rPr>
      </w:pPr>
    </w:p>
    <w:p w:rsidR="00E72973" w:rsidRDefault="00F0294F">
      <w:pPr>
        <w:pStyle w:val="biaogeright"/>
        <w:rPr>
          <w:rFonts w:hAnsi="Calibri"/>
          <w:b/>
          <w:bCs/>
          <w:color w:val="000000"/>
        </w:rPr>
      </w:pPr>
      <w:r>
        <w:rPr>
          <w:rFonts w:hAnsi="Calibri" w:hint="eastAsia"/>
          <w:b/>
          <w:bCs/>
          <w:color w:val="000000"/>
        </w:rPr>
        <w:t>南银理财有限责任公司</w:t>
      </w:r>
    </w:p>
    <w:p w:rsidR="00E72973" w:rsidRDefault="00A661C0" w:rsidP="00A661C0">
      <w:pPr>
        <w:pStyle w:val="biaogeright"/>
        <w:rPr>
          <w:rFonts w:hAnsi="Calibri"/>
          <w:b/>
          <w:bCs/>
          <w:color w:val="000000"/>
        </w:rPr>
      </w:pPr>
      <w:r>
        <w:rPr>
          <w:rFonts w:hAnsi="Calibri" w:hint="eastAsia"/>
          <w:b/>
          <w:bCs/>
          <w:color w:val="000000"/>
        </w:rPr>
        <w:t>2022年9月30日</w:t>
      </w:r>
    </w:p>
    <w:sectPr w:rsidR="00E72973" w:rsidSect="00E72973">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FC0" w:rsidRDefault="00BA7FC0" w:rsidP="00E72973">
      <w:r>
        <w:separator/>
      </w:r>
    </w:p>
  </w:endnote>
  <w:endnote w:type="continuationSeparator" w:id="1">
    <w:p w:rsidR="00BA7FC0" w:rsidRDefault="00BA7FC0" w:rsidP="00E72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73" w:rsidRDefault="000E59EF">
    <w:pPr>
      <w:pStyle w:val="a4"/>
      <w:framePr w:wrap="around" w:vAnchor="text" w:hAnchor="margin" w:xAlign="center" w:y="1"/>
      <w:rPr>
        <w:rStyle w:val="a8"/>
      </w:rPr>
    </w:pPr>
    <w:r>
      <w:fldChar w:fldCharType="begin"/>
    </w:r>
    <w:r w:rsidR="00F0294F">
      <w:rPr>
        <w:rStyle w:val="a8"/>
      </w:rPr>
      <w:instrText xml:space="preserve">PAGE  </w:instrText>
    </w:r>
    <w:r>
      <w:fldChar w:fldCharType="end"/>
    </w:r>
  </w:p>
  <w:p w:rsidR="00E72973" w:rsidRDefault="00E7297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73" w:rsidRDefault="00E72973">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FC0" w:rsidRDefault="00BA7FC0" w:rsidP="00E72973">
      <w:r>
        <w:separator/>
      </w:r>
    </w:p>
  </w:footnote>
  <w:footnote w:type="continuationSeparator" w:id="1">
    <w:p w:rsidR="00BA7FC0" w:rsidRDefault="00BA7FC0" w:rsidP="00E72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73" w:rsidRDefault="00F0294F">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7A064631"/>
    <w:rsid w:val="000060E5"/>
    <w:rsid w:val="00007199"/>
    <w:rsid w:val="000102DF"/>
    <w:rsid w:val="00013399"/>
    <w:rsid w:val="00030F14"/>
    <w:rsid w:val="00031AE6"/>
    <w:rsid w:val="00034FF6"/>
    <w:rsid w:val="00044BFF"/>
    <w:rsid w:val="000503DF"/>
    <w:rsid w:val="00052FAC"/>
    <w:rsid w:val="00053115"/>
    <w:rsid w:val="0005474A"/>
    <w:rsid w:val="00061725"/>
    <w:rsid w:val="00066AF8"/>
    <w:rsid w:val="00067886"/>
    <w:rsid w:val="00093286"/>
    <w:rsid w:val="000A07E0"/>
    <w:rsid w:val="000A1147"/>
    <w:rsid w:val="000A1970"/>
    <w:rsid w:val="000B285B"/>
    <w:rsid w:val="000C44EE"/>
    <w:rsid w:val="000D5066"/>
    <w:rsid w:val="000D5F8E"/>
    <w:rsid w:val="000E59EF"/>
    <w:rsid w:val="000F55F9"/>
    <w:rsid w:val="000F6191"/>
    <w:rsid w:val="000F6CC0"/>
    <w:rsid w:val="00100EEC"/>
    <w:rsid w:val="00100FEB"/>
    <w:rsid w:val="0010610C"/>
    <w:rsid w:val="00110411"/>
    <w:rsid w:val="00110E09"/>
    <w:rsid w:val="00130CE8"/>
    <w:rsid w:val="00135D60"/>
    <w:rsid w:val="00145A17"/>
    <w:rsid w:val="00152201"/>
    <w:rsid w:val="0015674C"/>
    <w:rsid w:val="0016590B"/>
    <w:rsid w:val="00166A35"/>
    <w:rsid w:val="00176636"/>
    <w:rsid w:val="001835D1"/>
    <w:rsid w:val="00183C84"/>
    <w:rsid w:val="00193272"/>
    <w:rsid w:val="001A0B70"/>
    <w:rsid w:val="001A339C"/>
    <w:rsid w:val="001C05F9"/>
    <w:rsid w:val="001C5395"/>
    <w:rsid w:val="001D5A30"/>
    <w:rsid w:val="001D72A9"/>
    <w:rsid w:val="001E4D88"/>
    <w:rsid w:val="001F4650"/>
    <w:rsid w:val="001F5321"/>
    <w:rsid w:val="002114A7"/>
    <w:rsid w:val="00211F26"/>
    <w:rsid w:val="002227DD"/>
    <w:rsid w:val="002263FC"/>
    <w:rsid w:val="002273F2"/>
    <w:rsid w:val="00227B17"/>
    <w:rsid w:val="002300F1"/>
    <w:rsid w:val="00231AC2"/>
    <w:rsid w:val="0023550F"/>
    <w:rsid w:val="0024254D"/>
    <w:rsid w:val="00242FF4"/>
    <w:rsid w:val="00251657"/>
    <w:rsid w:val="00261B22"/>
    <w:rsid w:val="0026513C"/>
    <w:rsid w:val="0026644D"/>
    <w:rsid w:val="002704D6"/>
    <w:rsid w:val="002813D0"/>
    <w:rsid w:val="00285094"/>
    <w:rsid w:val="0028743B"/>
    <w:rsid w:val="002900B6"/>
    <w:rsid w:val="00290D0E"/>
    <w:rsid w:val="002A01E0"/>
    <w:rsid w:val="002A3AE9"/>
    <w:rsid w:val="002A52FA"/>
    <w:rsid w:val="002B2C71"/>
    <w:rsid w:val="002B36BD"/>
    <w:rsid w:val="002B5A27"/>
    <w:rsid w:val="002B6569"/>
    <w:rsid w:val="002C196E"/>
    <w:rsid w:val="002C410D"/>
    <w:rsid w:val="002C7416"/>
    <w:rsid w:val="002D75D0"/>
    <w:rsid w:val="002E795C"/>
    <w:rsid w:val="002F3AEA"/>
    <w:rsid w:val="0030002B"/>
    <w:rsid w:val="0030118D"/>
    <w:rsid w:val="003146EB"/>
    <w:rsid w:val="00321CB7"/>
    <w:rsid w:val="003266E8"/>
    <w:rsid w:val="0033280E"/>
    <w:rsid w:val="00336DF9"/>
    <w:rsid w:val="003379A9"/>
    <w:rsid w:val="00347110"/>
    <w:rsid w:val="00350ADF"/>
    <w:rsid w:val="00355623"/>
    <w:rsid w:val="003559D7"/>
    <w:rsid w:val="003606BA"/>
    <w:rsid w:val="00363F78"/>
    <w:rsid w:val="00373526"/>
    <w:rsid w:val="003867E5"/>
    <w:rsid w:val="003A0419"/>
    <w:rsid w:val="003A1606"/>
    <w:rsid w:val="003B5524"/>
    <w:rsid w:val="003B73EB"/>
    <w:rsid w:val="003C2E6D"/>
    <w:rsid w:val="003D3D53"/>
    <w:rsid w:val="003E09EA"/>
    <w:rsid w:val="003E5202"/>
    <w:rsid w:val="003F0AC3"/>
    <w:rsid w:val="003F0F3F"/>
    <w:rsid w:val="003F65DD"/>
    <w:rsid w:val="004035EA"/>
    <w:rsid w:val="004135D0"/>
    <w:rsid w:val="00425170"/>
    <w:rsid w:val="00426B51"/>
    <w:rsid w:val="004432ED"/>
    <w:rsid w:val="00456251"/>
    <w:rsid w:val="00456407"/>
    <w:rsid w:val="00466076"/>
    <w:rsid w:val="004717EE"/>
    <w:rsid w:val="00487993"/>
    <w:rsid w:val="00487AA2"/>
    <w:rsid w:val="004A3329"/>
    <w:rsid w:val="004A6E3E"/>
    <w:rsid w:val="004B5629"/>
    <w:rsid w:val="004C1077"/>
    <w:rsid w:val="004C1607"/>
    <w:rsid w:val="004C5ED4"/>
    <w:rsid w:val="004C6C8D"/>
    <w:rsid w:val="004E0C32"/>
    <w:rsid w:val="00502C4E"/>
    <w:rsid w:val="005069D8"/>
    <w:rsid w:val="00507A1F"/>
    <w:rsid w:val="005137ED"/>
    <w:rsid w:val="00516F77"/>
    <w:rsid w:val="00540B6D"/>
    <w:rsid w:val="0054267A"/>
    <w:rsid w:val="00545F71"/>
    <w:rsid w:val="00551558"/>
    <w:rsid w:val="00561127"/>
    <w:rsid w:val="0056162E"/>
    <w:rsid w:val="005651B0"/>
    <w:rsid w:val="00567DB3"/>
    <w:rsid w:val="00574003"/>
    <w:rsid w:val="00580DB6"/>
    <w:rsid w:val="00582172"/>
    <w:rsid w:val="005829C9"/>
    <w:rsid w:val="00586A85"/>
    <w:rsid w:val="00592F8E"/>
    <w:rsid w:val="005B3434"/>
    <w:rsid w:val="005D496D"/>
    <w:rsid w:val="005D5B56"/>
    <w:rsid w:val="005E775A"/>
    <w:rsid w:val="005F2C7B"/>
    <w:rsid w:val="005F4D04"/>
    <w:rsid w:val="006054F8"/>
    <w:rsid w:val="00610174"/>
    <w:rsid w:val="0061061C"/>
    <w:rsid w:val="00615114"/>
    <w:rsid w:val="00622CF4"/>
    <w:rsid w:val="0062696F"/>
    <w:rsid w:val="0063518F"/>
    <w:rsid w:val="00640B3D"/>
    <w:rsid w:val="00644987"/>
    <w:rsid w:val="0065419A"/>
    <w:rsid w:val="00654220"/>
    <w:rsid w:val="00657071"/>
    <w:rsid w:val="0066105F"/>
    <w:rsid w:val="00663B94"/>
    <w:rsid w:val="00666810"/>
    <w:rsid w:val="00674124"/>
    <w:rsid w:val="00677F66"/>
    <w:rsid w:val="00684926"/>
    <w:rsid w:val="006857F2"/>
    <w:rsid w:val="006B0B68"/>
    <w:rsid w:val="006B0DB8"/>
    <w:rsid w:val="006B7A7C"/>
    <w:rsid w:val="006C3B02"/>
    <w:rsid w:val="006D2006"/>
    <w:rsid w:val="006D4071"/>
    <w:rsid w:val="006E0D41"/>
    <w:rsid w:val="006E4E94"/>
    <w:rsid w:val="006F7C4D"/>
    <w:rsid w:val="007113CF"/>
    <w:rsid w:val="00714758"/>
    <w:rsid w:val="00730BEE"/>
    <w:rsid w:val="0073101E"/>
    <w:rsid w:val="00735153"/>
    <w:rsid w:val="00741092"/>
    <w:rsid w:val="00745421"/>
    <w:rsid w:val="00746812"/>
    <w:rsid w:val="007662AE"/>
    <w:rsid w:val="00766DD5"/>
    <w:rsid w:val="00772173"/>
    <w:rsid w:val="00782E54"/>
    <w:rsid w:val="00792692"/>
    <w:rsid w:val="007A4219"/>
    <w:rsid w:val="007A6DDB"/>
    <w:rsid w:val="007C422D"/>
    <w:rsid w:val="007C572C"/>
    <w:rsid w:val="007D0048"/>
    <w:rsid w:val="007E03D8"/>
    <w:rsid w:val="007E2E92"/>
    <w:rsid w:val="007E40DE"/>
    <w:rsid w:val="007F5739"/>
    <w:rsid w:val="0080200C"/>
    <w:rsid w:val="008036C2"/>
    <w:rsid w:val="00810261"/>
    <w:rsid w:val="00814110"/>
    <w:rsid w:val="0082561A"/>
    <w:rsid w:val="00831B46"/>
    <w:rsid w:val="00833850"/>
    <w:rsid w:val="00846B2E"/>
    <w:rsid w:val="008517A9"/>
    <w:rsid w:val="008532B1"/>
    <w:rsid w:val="00872F6C"/>
    <w:rsid w:val="00880C1A"/>
    <w:rsid w:val="0088632D"/>
    <w:rsid w:val="00890186"/>
    <w:rsid w:val="008926F7"/>
    <w:rsid w:val="0089287C"/>
    <w:rsid w:val="008A7510"/>
    <w:rsid w:val="008B1EB1"/>
    <w:rsid w:val="008B672F"/>
    <w:rsid w:val="008C5476"/>
    <w:rsid w:val="008C68AE"/>
    <w:rsid w:val="008C78BD"/>
    <w:rsid w:val="008E165F"/>
    <w:rsid w:val="008E3B3F"/>
    <w:rsid w:val="008E5CC6"/>
    <w:rsid w:val="008F0C19"/>
    <w:rsid w:val="008F342A"/>
    <w:rsid w:val="00900D90"/>
    <w:rsid w:val="00903F1F"/>
    <w:rsid w:val="0090682A"/>
    <w:rsid w:val="00916D74"/>
    <w:rsid w:val="009354D6"/>
    <w:rsid w:val="00941D2D"/>
    <w:rsid w:val="00950692"/>
    <w:rsid w:val="009555DD"/>
    <w:rsid w:val="00964838"/>
    <w:rsid w:val="00970A98"/>
    <w:rsid w:val="00970F7B"/>
    <w:rsid w:val="00981ECB"/>
    <w:rsid w:val="00983B6A"/>
    <w:rsid w:val="009964B2"/>
    <w:rsid w:val="009A30DF"/>
    <w:rsid w:val="009A563E"/>
    <w:rsid w:val="009C056B"/>
    <w:rsid w:val="009C781F"/>
    <w:rsid w:val="009D3E39"/>
    <w:rsid w:val="009E6170"/>
    <w:rsid w:val="009F16BB"/>
    <w:rsid w:val="00A4484F"/>
    <w:rsid w:val="00A60E33"/>
    <w:rsid w:val="00A6112A"/>
    <w:rsid w:val="00A661C0"/>
    <w:rsid w:val="00A76D4B"/>
    <w:rsid w:val="00A77C47"/>
    <w:rsid w:val="00A9119C"/>
    <w:rsid w:val="00AA2969"/>
    <w:rsid w:val="00AA4549"/>
    <w:rsid w:val="00AB0A11"/>
    <w:rsid w:val="00AB0CFC"/>
    <w:rsid w:val="00AB6691"/>
    <w:rsid w:val="00AC5144"/>
    <w:rsid w:val="00AC6BA7"/>
    <w:rsid w:val="00AD3F7A"/>
    <w:rsid w:val="00AD6FA5"/>
    <w:rsid w:val="00AD77C5"/>
    <w:rsid w:val="00AE0098"/>
    <w:rsid w:val="00AE36E8"/>
    <w:rsid w:val="00AE519B"/>
    <w:rsid w:val="00AF6377"/>
    <w:rsid w:val="00B05543"/>
    <w:rsid w:val="00B13014"/>
    <w:rsid w:val="00B21B25"/>
    <w:rsid w:val="00B33B19"/>
    <w:rsid w:val="00B404E6"/>
    <w:rsid w:val="00B4360D"/>
    <w:rsid w:val="00B4725A"/>
    <w:rsid w:val="00B52C8B"/>
    <w:rsid w:val="00B54409"/>
    <w:rsid w:val="00B67966"/>
    <w:rsid w:val="00B74DCA"/>
    <w:rsid w:val="00B82278"/>
    <w:rsid w:val="00B96D3F"/>
    <w:rsid w:val="00BA2F89"/>
    <w:rsid w:val="00BA7FC0"/>
    <w:rsid w:val="00BC3903"/>
    <w:rsid w:val="00BD2A26"/>
    <w:rsid w:val="00BD7297"/>
    <w:rsid w:val="00BE196A"/>
    <w:rsid w:val="00BE3F72"/>
    <w:rsid w:val="00BE47E0"/>
    <w:rsid w:val="00BF117B"/>
    <w:rsid w:val="00BF75C8"/>
    <w:rsid w:val="00C1762E"/>
    <w:rsid w:val="00C20A3D"/>
    <w:rsid w:val="00C217ED"/>
    <w:rsid w:val="00C30A48"/>
    <w:rsid w:val="00C35FA6"/>
    <w:rsid w:val="00C42F46"/>
    <w:rsid w:val="00C43741"/>
    <w:rsid w:val="00C457B8"/>
    <w:rsid w:val="00C52E56"/>
    <w:rsid w:val="00C57B86"/>
    <w:rsid w:val="00C640FB"/>
    <w:rsid w:val="00C65651"/>
    <w:rsid w:val="00C92A8F"/>
    <w:rsid w:val="00CA6198"/>
    <w:rsid w:val="00CB054E"/>
    <w:rsid w:val="00CC232E"/>
    <w:rsid w:val="00CC29AF"/>
    <w:rsid w:val="00CC52D7"/>
    <w:rsid w:val="00CD0E9E"/>
    <w:rsid w:val="00CD1D4C"/>
    <w:rsid w:val="00CF1834"/>
    <w:rsid w:val="00CF6C89"/>
    <w:rsid w:val="00D0449D"/>
    <w:rsid w:val="00D12201"/>
    <w:rsid w:val="00D15A8A"/>
    <w:rsid w:val="00D2360B"/>
    <w:rsid w:val="00D23AB6"/>
    <w:rsid w:val="00D4110C"/>
    <w:rsid w:val="00D45D6B"/>
    <w:rsid w:val="00D50309"/>
    <w:rsid w:val="00D51AA9"/>
    <w:rsid w:val="00D54624"/>
    <w:rsid w:val="00D63ABC"/>
    <w:rsid w:val="00D641E5"/>
    <w:rsid w:val="00D7264A"/>
    <w:rsid w:val="00D80A09"/>
    <w:rsid w:val="00D80BDA"/>
    <w:rsid w:val="00D84E43"/>
    <w:rsid w:val="00D943CD"/>
    <w:rsid w:val="00DA4BE9"/>
    <w:rsid w:val="00DB0C2F"/>
    <w:rsid w:val="00DB3818"/>
    <w:rsid w:val="00DB3BF6"/>
    <w:rsid w:val="00DC31CC"/>
    <w:rsid w:val="00DC728A"/>
    <w:rsid w:val="00DD51B6"/>
    <w:rsid w:val="00DD597C"/>
    <w:rsid w:val="00DE67E4"/>
    <w:rsid w:val="00DF21F0"/>
    <w:rsid w:val="00E00594"/>
    <w:rsid w:val="00E01920"/>
    <w:rsid w:val="00E155DF"/>
    <w:rsid w:val="00E41113"/>
    <w:rsid w:val="00E41B5E"/>
    <w:rsid w:val="00E436EF"/>
    <w:rsid w:val="00E544DD"/>
    <w:rsid w:val="00E623AB"/>
    <w:rsid w:val="00E661C3"/>
    <w:rsid w:val="00E72973"/>
    <w:rsid w:val="00E81EDF"/>
    <w:rsid w:val="00E9797A"/>
    <w:rsid w:val="00EA13D5"/>
    <w:rsid w:val="00EA2CC5"/>
    <w:rsid w:val="00EA5D3D"/>
    <w:rsid w:val="00EB0FBF"/>
    <w:rsid w:val="00EB6C63"/>
    <w:rsid w:val="00EC4DE1"/>
    <w:rsid w:val="00ED4637"/>
    <w:rsid w:val="00EE0436"/>
    <w:rsid w:val="00EE7C80"/>
    <w:rsid w:val="00EF451D"/>
    <w:rsid w:val="00F0294F"/>
    <w:rsid w:val="00F2526B"/>
    <w:rsid w:val="00F41324"/>
    <w:rsid w:val="00F42715"/>
    <w:rsid w:val="00F44CC2"/>
    <w:rsid w:val="00F609FD"/>
    <w:rsid w:val="00F66874"/>
    <w:rsid w:val="00F81345"/>
    <w:rsid w:val="00F859AB"/>
    <w:rsid w:val="00F90CD9"/>
    <w:rsid w:val="00F939D0"/>
    <w:rsid w:val="00F950D0"/>
    <w:rsid w:val="00FA2C26"/>
    <w:rsid w:val="00FA650F"/>
    <w:rsid w:val="00FB1B1C"/>
    <w:rsid w:val="00FB6E8E"/>
    <w:rsid w:val="00FC7300"/>
    <w:rsid w:val="00FD035A"/>
    <w:rsid w:val="00FD085B"/>
    <w:rsid w:val="00FF4723"/>
    <w:rsid w:val="022C2410"/>
    <w:rsid w:val="02533C02"/>
    <w:rsid w:val="026D0131"/>
    <w:rsid w:val="03643C6B"/>
    <w:rsid w:val="037A1E29"/>
    <w:rsid w:val="03FA128F"/>
    <w:rsid w:val="04EE43A7"/>
    <w:rsid w:val="05430913"/>
    <w:rsid w:val="066933CB"/>
    <w:rsid w:val="06CE78F2"/>
    <w:rsid w:val="08143E27"/>
    <w:rsid w:val="086A4C04"/>
    <w:rsid w:val="0A5B0060"/>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7CF0193"/>
    <w:rsid w:val="2933258B"/>
    <w:rsid w:val="298E16C7"/>
    <w:rsid w:val="2B7C5C81"/>
    <w:rsid w:val="2F132635"/>
    <w:rsid w:val="30077F05"/>
    <w:rsid w:val="3121340F"/>
    <w:rsid w:val="336668FA"/>
    <w:rsid w:val="36316B15"/>
    <w:rsid w:val="368076E6"/>
    <w:rsid w:val="388D7049"/>
    <w:rsid w:val="39455ACA"/>
    <w:rsid w:val="39BC3302"/>
    <w:rsid w:val="3A5E67F0"/>
    <w:rsid w:val="3AF80478"/>
    <w:rsid w:val="3B5752AF"/>
    <w:rsid w:val="3C0E0AC1"/>
    <w:rsid w:val="3DE33F68"/>
    <w:rsid w:val="3FB22C0A"/>
    <w:rsid w:val="40897464"/>
    <w:rsid w:val="40E1302A"/>
    <w:rsid w:val="42BE08E7"/>
    <w:rsid w:val="433A3D7A"/>
    <w:rsid w:val="43A019F4"/>
    <w:rsid w:val="46A13001"/>
    <w:rsid w:val="49DD5A7F"/>
    <w:rsid w:val="4A9A51B9"/>
    <w:rsid w:val="4DEC7E75"/>
    <w:rsid w:val="4E276A76"/>
    <w:rsid w:val="4F8709AB"/>
    <w:rsid w:val="50C47F64"/>
    <w:rsid w:val="53300D28"/>
    <w:rsid w:val="55CC3E04"/>
    <w:rsid w:val="55E57CB6"/>
    <w:rsid w:val="564B4BD9"/>
    <w:rsid w:val="56696C12"/>
    <w:rsid w:val="57AD6E41"/>
    <w:rsid w:val="580B5AEB"/>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0FC1DA7"/>
    <w:rsid w:val="73193673"/>
    <w:rsid w:val="78467F33"/>
    <w:rsid w:val="7A056855"/>
    <w:rsid w:val="7A064631"/>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97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72973"/>
    <w:rPr>
      <w:sz w:val="18"/>
      <w:szCs w:val="18"/>
      <w:lang/>
    </w:rPr>
  </w:style>
  <w:style w:type="paragraph" w:styleId="a4">
    <w:name w:val="footer"/>
    <w:basedOn w:val="a"/>
    <w:link w:val="Char0"/>
    <w:uiPriority w:val="99"/>
    <w:unhideWhenUsed/>
    <w:qFormat/>
    <w:rsid w:val="00E72973"/>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E72973"/>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E72973"/>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E729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E72973"/>
  </w:style>
  <w:style w:type="paragraph" w:customStyle="1" w:styleId="zhongyaotishi">
    <w:name w:val="zhongyaotishi"/>
    <w:basedOn w:val="a"/>
    <w:qFormat/>
    <w:rsid w:val="00E7297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E7297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E72973"/>
    <w:pPr>
      <w:widowControl w:val="0"/>
      <w:jc w:val="center"/>
    </w:pPr>
    <w:rPr>
      <w:kern w:val="2"/>
      <w:sz w:val="33"/>
      <w:szCs w:val="22"/>
    </w:rPr>
  </w:style>
  <w:style w:type="paragraph" w:customStyle="1" w:styleId="neirong">
    <w:name w:val="neirong"/>
    <w:basedOn w:val="a"/>
    <w:qFormat/>
    <w:rsid w:val="00E7297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E7297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72973"/>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E7297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E7297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E72973"/>
    <w:pPr>
      <w:widowControl w:val="0"/>
    </w:pPr>
    <w:rPr>
      <w:kern w:val="2"/>
      <w:sz w:val="21"/>
      <w:szCs w:val="22"/>
    </w:rPr>
  </w:style>
  <w:style w:type="paragraph" w:customStyle="1" w:styleId="biaogecenter">
    <w:name w:val="biaoge_center"/>
    <w:basedOn w:val="a"/>
    <w:qFormat/>
    <w:rsid w:val="00E7297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E72973"/>
    <w:pPr>
      <w:jc w:val="both"/>
    </w:pPr>
    <w:rPr>
      <w:kern w:val="2"/>
      <w:sz w:val="21"/>
      <w:szCs w:val="21"/>
    </w:rPr>
  </w:style>
  <w:style w:type="paragraph" w:customStyle="1" w:styleId="biaogeright1">
    <w:name w:val="biaoge_right1"/>
    <w:basedOn w:val="a"/>
    <w:qFormat/>
    <w:rsid w:val="00E7297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7297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E7297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E72973"/>
    <w:rPr>
      <w:kern w:val="2"/>
      <w:sz w:val="18"/>
      <w:szCs w:val="18"/>
    </w:rPr>
  </w:style>
  <w:style w:type="character" w:customStyle="1" w:styleId="Char0">
    <w:name w:val="页脚 Char"/>
    <w:link w:val="a4"/>
    <w:uiPriority w:val="99"/>
    <w:semiHidden/>
    <w:qFormat/>
    <w:locked/>
    <w:rsid w:val="00E72973"/>
    <w:rPr>
      <w:rFonts w:ascii="Times New Roman" w:hAnsi="Times New Roman" w:cs="Times New Roman" w:hint="default"/>
      <w:sz w:val="18"/>
      <w:szCs w:val="18"/>
    </w:rPr>
  </w:style>
  <w:style w:type="character" w:customStyle="1" w:styleId="Char1">
    <w:name w:val="页眉 Char"/>
    <w:link w:val="a5"/>
    <w:uiPriority w:val="99"/>
    <w:semiHidden/>
    <w:qFormat/>
    <w:locked/>
    <w:rsid w:val="00E72973"/>
    <w:rPr>
      <w:rFonts w:ascii="Times New Roman" w:hAnsi="Times New Roman" w:cs="Times New Roman" w:hint="default"/>
      <w:sz w:val="18"/>
      <w:szCs w:val="18"/>
    </w:rPr>
  </w:style>
  <w:style w:type="table" w:customStyle="1" w:styleId="dqbgxx">
    <w:name w:val="dqbgxx"/>
    <w:basedOn w:val="a1"/>
    <w:qFormat/>
    <w:rsid w:val="00E72973"/>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E72973"/>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E72973"/>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483</Words>
  <Characters>2754</Characters>
  <Application>Microsoft Office Word</Application>
  <DocSecurity>0</DocSecurity>
  <Lines>22</Lines>
  <Paragraphs>6</Paragraphs>
  <ScaleCrop>false</ScaleCrop>
  <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69</cp:revision>
  <dcterms:created xsi:type="dcterms:W3CDTF">2021-06-30T07:28:00Z</dcterms:created>
  <dcterms:modified xsi:type="dcterms:W3CDTF">2022-10-20T08:11:00Z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