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D4" w:rsidRDefault="00B34ED4">
      <w:pPr>
        <w:pStyle w:val="dazhangjie"/>
        <w:ind w:left="0"/>
        <w:jc w:val="both"/>
        <w:rPr>
          <w:b/>
          <w:bCs/>
          <w:color w:val="000000"/>
        </w:rPr>
      </w:pPr>
    </w:p>
    <w:p w:rsidR="00B34ED4" w:rsidRDefault="00B34ED4">
      <w:pPr>
        <w:pStyle w:val="dazhangjie"/>
        <w:ind w:left="0"/>
        <w:jc w:val="both"/>
        <w:rPr>
          <w:b/>
          <w:bCs/>
          <w:color w:val="000000"/>
        </w:rPr>
      </w:pPr>
    </w:p>
    <w:p w:rsidR="00B34ED4" w:rsidRDefault="00B34ED4">
      <w:pPr>
        <w:pStyle w:val="dazhangjie"/>
        <w:ind w:left="0"/>
        <w:jc w:val="both"/>
        <w:rPr>
          <w:b/>
          <w:bCs/>
          <w:color w:val="000000"/>
        </w:rPr>
      </w:pPr>
    </w:p>
    <w:p w:rsidR="00B34ED4" w:rsidRDefault="004A6C9D">
      <w:pPr>
        <w:pStyle w:val="dazhangjie"/>
        <w:spacing w:before="240" w:after="120"/>
        <w:rPr>
          <w:rFonts w:ascii="黑体" w:eastAsia="黑体"/>
          <w:b/>
          <w:bCs/>
          <w:color w:val="000000"/>
          <w:sz w:val="36"/>
        </w:rPr>
      </w:pPr>
      <w:r>
        <w:rPr>
          <w:rFonts w:ascii="黑体" w:eastAsia="黑体" w:hint="eastAsia"/>
          <w:b/>
          <w:bCs/>
          <w:color w:val="000000"/>
          <w:sz w:val="36"/>
        </w:rPr>
        <w:t>南银理财珠联璧合安稳2001一年定开公募人民币理财产品</w:t>
      </w:r>
    </w:p>
    <w:p w:rsidR="00B34ED4" w:rsidRDefault="00B47A36">
      <w:pPr>
        <w:pStyle w:val="dazhangjie"/>
        <w:spacing w:before="240" w:after="120"/>
        <w:rPr>
          <w:rFonts w:ascii="黑体" w:eastAsia="黑体" w:hAnsi="黑体"/>
          <w:b/>
          <w:bCs/>
          <w:color w:val="000000"/>
          <w:sz w:val="36"/>
        </w:rPr>
      </w:pPr>
      <w:r>
        <w:rPr>
          <w:rFonts w:ascii="黑体" w:eastAsia="黑体" w:hAnsi="黑体"/>
          <w:b/>
          <w:bCs/>
          <w:color w:val="000000"/>
          <w:sz w:val="36"/>
        </w:rPr>
        <w:t>2022年第3季度报告</w:t>
      </w:r>
    </w:p>
    <w:p w:rsidR="00B34ED4" w:rsidRDefault="00B34ED4">
      <w:pPr>
        <w:pStyle w:val="dazhangjie"/>
        <w:spacing w:before="240" w:after="120"/>
        <w:rPr>
          <w:rFonts w:ascii="黑体" w:eastAsia="黑体" w:hAnsi="黑体"/>
          <w:b/>
          <w:bCs/>
          <w:color w:val="000000"/>
          <w:sz w:val="36"/>
        </w:rPr>
      </w:pPr>
    </w:p>
    <w:p w:rsidR="00B34ED4" w:rsidRDefault="00B34ED4">
      <w:pPr>
        <w:pStyle w:val="dazhangjie"/>
        <w:spacing w:before="240" w:after="120"/>
        <w:rPr>
          <w:rFonts w:ascii="黑体" w:eastAsia="黑体" w:hAnsi="黑体"/>
          <w:b/>
          <w:bCs/>
          <w:color w:val="000000"/>
          <w:sz w:val="36"/>
        </w:rPr>
      </w:pPr>
    </w:p>
    <w:p w:rsidR="00B34ED4" w:rsidRDefault="00B34ED4">
      <w:pPr>
        <w:pStyle w:val="dazhangjie"/>
        <w:spacing w:before="240" w:after="120"/>
        <w:rPr>
          <w:rFonts w:ascii="黑体" w:eastAsia="黑体" w:hAnsi="黑体"/>
          <w:b/>
          <w:bCs/>
          <w:color w:val="000000"/>
          <w:sz w:val="36"/>
        </w:rPr>
      </w:pPr>
    </w:p>
    <w:p w:rsidR="00B34ED4" w:rsidRDefault="00B34ED4">
      <w:pPr>
        <w:pStyle w:val="dazhangjie"/>
        <w:spacing w:before="240" w:after="120"/>
        <w:ind w:left="0"/>
        <w:jc w:val="both"/>
        <w:rPr>
          <w:rFonts w:ascii="黑体" w:eastAsia="黑体" w:hAnsi="黑体"/>
          <w:b/>
          <w:bCs/>
          <w:color w:val="000000"/>
          <w:sz w:val="36"/>
        </w:rPr>
      </w:pPr>
    </w:p>
    <w:p w:rsidR="00B34ED4" w:rsidRDefault="004A6C9D">
      <w:pPr>
        <w:pStyle w:val="dazhangjie"/>
        <w:spacing w:before="240" w:after="120"/>
        <w:rPr>
          <w:b/>
          <w:bCs/>
          <w:color w:val="000000"/>
        </w:rPr>
      </w:pPr>
      <w:r>
        <w:rPr>
          <w:rFonts w:hint="eastAsia"/>
          <w:b/>
          <w:bCs/>
          <w:color w:val="000000"/>
        </w:rPr>
        <w:t>产品</w:t>
      </w:r>
      <w:r>
        <w:rPr>
          <w:b/>
          <w:bCs/>
          <w:color w:val="000000"/>
        </w:rPr>
        <w:t>管理人:南银理财有限责任公司</w:t>
      </w:r>
    </w:p>
    <w:p w:rsidR="00B34ED4" w:rsidRDefault="004A6C9D">
      <w:pPr>
        <w:pStyle w:val="dazhangjie"/>
        <w:spacing w:before="240" w:after="120"/>
        <w:rPr>
          <w:b/>
          <w:bCs/>
          <w:color w:val="000000"/>
        </w:rPr>
      </w:pPr>
      <w:r>
        <w:rPr>
          <w:rFonts w:hint="eastAsia"/>
          <w:b/>
          <w:bCs/>
          <w:color w:val="000000"/>
        </w:rPr>
        <w:t>产品</w:t>
      </w:r>
      <w:r>
        <w:rPr>
          <w:b/>
          <w:bCs/>
          <w:color w:val="000000"/>
        </w:rPr>
        <w:t>托管人:南京银行股份有限公司</w:t>
      </w:r>
    </w:p>
    <w:p w:rsidR="00B34ED4" w:rsidRDefault="004A6C9D">
      <w:pPr>
        <w:widowControl/>
        <w:jc w:val="left"/>
        <w:rPr>
          <w:b/>
          <w:bCs/>
          <w:color w:val="000000"/>
        </w:rPr>
      </w:pPr>
      <w:r>
        <w:rPr>
          <w:rFonts w:hint="eastAsia"/>
          <w:b/>
          <w:bCs/>
          <w:color w:val="000000"/>
        </w:rPr>
        <w:br w:type="page"/>
      </w:r>
    </w:p>
    <w:p w:rsidR="00B34ED4" w:rsidRDefault="004A6C9D">
      <w:pPr>
        <w:pStyle w:val="dazhangjie"/>
        <w:rPr>
          <w:color w:val="000000"/>
        </w:rPr>
      </w:pPr>
      <w:r>
        <w:rPr>
          <w:rFonts w:hAnsi="Calibri" w:hint="eastAsia"/>
          <w:b/>
          <w:color w:val="000000"/>
        </w:rPr>
        <w:t>§1 产品概况</w:t>
      </w:r>
    </w:p>
    <w:p w:rsidR="00B34ED4" w:rsidRDefault="00B34ED4">
      <w:pPr>
        <w:widowControl/>
        <w:jc w:val="left"/>
        <w:rPr>
          <w:rFonts w:ascii="宋体" w:hAnsi="宋体" w:cs="宋体"/>
          <w:color w:val="000000"/>
          <w:kern w:val="0"/>
          <w:sz w:val="24"/>
          <w:szCs w:val="24"/>
        </w:rPr>
      </w:pPr>
    </w:p>
    <w:tbl>
      <w:tblPr>
        <w:tblW w:w="0" w:type="auto"/>
        <w:tblInd w:w="108" w:type="dxa"/>
        <w:tblLayout w:type="fixed"/>
        <w:tblLook w:val="04A0"/>
      </w:tblPr>
      <w:tblGrid>
        <w:gridCol w:w="2811"/>
        <w:gridCol w:w="6387"/>
      </w:tblGrid>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pPr>
            <w:r>
              <w:rPr>
                <w:rFonts w:hint="eastAsia"/>
              </w:rPr>
              <w:t>南银理财珠联璧合安稳2001一年定开公募人民币理财产品</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pPr>
            <w:r>
              <w:rPr>
                <w:rFonts w:hint="eastAsia"/>
              </w:rPr>
              <w:t>Z7003221000018（投资者可依据该编码在中国理财网www.chinawealth.com.cn查询理财产品相关信息）</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开放式净值型</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t>产品成立日</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color w:val="000000"/>
              </w:rPr>
              <w:t>2020年01月16日</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B47A36">
            <w:pPr>
              <w:pStyle w:val="biaogeleft"/>
              <w:wordWrap w:val="0"/>
            </w:pPr>
            <w:r>
              <w:t>905,064,871.00份</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235B1A">
            <w:pPr>
              <w:pStyle w:val="biaogeleft"/>
              <w:wordWrap w:val="0"/>
              <w:rPr>
                <w:color w:val="000000"/>
              </w:rPr>
            </w:pPr>
            <w:r>
              <w:rPr>
                <w:color w:val="000000"/>
              </w:rPr>
              <w:t>-</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neirong"/>
              <w:wordWrap w:val="0"/>
              <w:rPr>
                <w:color w:val="000000"/>
              </w:rPr>
            </w:pPr>
            <w:r>
              <w:rPr>
                <w:color w:val="000000"/>
              </w:rPr>
              <w:t>南银理财有限责任公司</w:t>
            </w:r>
          </w:p>
        </w:tc>
      </w:tr>
      <w:tr w:rsidR="00B34ED4">
        <w:tc>
          <w:tcPr>
            <w:tcW w:w="281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left"/>
              <w:wordWrap w:val="0"/>
              <w:rPr>
                <w:color w:val="000000"/>
              </w:rPr>
            </w:pPr>
            <w:r>
              <w:rPr>
                <w:color w:val="000000"/>
              </w:rPr>
              <w:t>南京银行股份有限公司</w:t>
            </w:r>
          </w:p>
        </w:tc>
      </w:tr>
    </w:tbl>
    <w:p w:rsidR="00B34ED4" w:rsidRDefault="00B34ED4">
      <w:pPr>
        <w:widowControl/>
        <w:jc w:val="left"/>
        <w:rPr>
          <w:rFonts w:ascii="宋体" w:hAnsi="宋体" w:cs="宋体"/>
          <w:color w:val="000000"/>
          <w:kern w:val="0"/>
          <w:sz w:val="24"/>
          <w:szCs w:val="24"/>
        </w:rPr>
      </w:pPr>
    </w:p>
    <w:p w:rsidR="00B34ED4" w:rsidRDefault="00414405">
      <w:pPr>
        <w:pStyle w:val="dazhangjie"/>
        <w:rPr>
          <w:color w:val="000000"/>
        </w:rPr>
      </w:pPr>
      <w:r>
        <w:rPr>
          <w:rFonts w:hAnsi="Calibri" w:hint="eastAsia"/>
          <w:b/>
          <w:color w:val="000000"/>
        </w:rPr>
        <w:t>§2  主要财务指标和产品</w:t>
      </w:r>
      <w:r>
        <w:rPr>
          <w:rFonts w:hint="eastAsia"/>
          <w:b/>
          <w:bCs/>
          <w:color w:val="000000"/>
        </w:rPr>
        <w:t>业绩比较基准</w:t>
      </w:r>
    </w:p>
    <w:p w:rsidR="00B34ED4" w:rsidRDefault="004A6C9D">
      <w:pPr>
        <w:pStyle w:val="zhangjiep"/>
        <w:ind w:left="0"/>
        <w:rPr>
          <w:color w:val="000000"/>
        </w:rPr>
      </w:pPr>
      <w:r>
        <w:rPr>
          <w:rFonts w:hint="eastAsia"/>
          <w:b/>
          <w:bCs/>
          <w:color w:val="000000"/>
        </w:rPr>
        <w:t>2.1 主要财务指标</w:t>
      </w:r>
    </w:p>
    <w:p w:rsidR="00B34ED4" w:rsidRDefault="004A6C9D">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135"/>
        <w:gridCol w:w="5187"/>
      </w:tblGrid>
      <w:tr w:rsidR="00A45E8E">
        <w:tc>
          <w:tcPr>
            <w:tcW w:w="4135" w:type="dxa"/>
            <w:noWrap/>
            <w:vAlign w:val="center"/>
          </w:tcPr>
          <w:p w:rsidR="00A45E8E" w:rsidRDefault="00A45E8E">
            <w:pPr>
              <w:pStyle w:val="a6"/>
              <w:wordWrap w:val="0"/>
              <w:jc w:val="center"/>
              <w:rPr>
                <w:b/>
                <w:bCs/>
                <w:color w:val="000000"/>
              </w:rPr>
            </w:pPr>
            <w:r>
              <w:rPr>
                <w:rFonts w:hint="eastAsia"/>
                <w:b/>
                <w:bCs/>
                <w:color w:val="000000"/>
              </w:rPr>
              <w:t>主要财务指标</w:t>
            </w:r>
          </w:p>
        </w:tc>
        <w:tc>
          <w:tcPr>
            <w:tcW w:w="5187" w:type="dxa"/>
            <w:noWrap/>
          </w:tcPr>
          <w:p w:rsidR="00A45E8E" w:rsidRDefault="00B47A36" w:rsidP="00992B0C">
            <w:pPr>
              <w:pStyle w:val="zhangjiep"/>
              <w:jc w:val="center"/>
              <w:rPr>
                <w:b/>
                <w:bCs/>
                <w:color w:val="000000"/>
              </w:rPr>
            </w:pPr>
            <w:r>
              <w:rPr>
                <w:rFonts w:hint="eastAsia"/>
              </w:rPr>
              <w:t>报告期（</w:t>
            </w:r>
            <w:r>
              <w:t>2022年7月1日 - 2022年9月30日）</w:t>
            </w:r>
          </w:p>
        </w:tc>
      </w:tr>
      <w:tr w:rsidR="00B34ED4">
        <w:tc>
          <w:tcPr>
            <w:tcW w:w="4135" w:type="dxa"/>
            <w:noWrap/>
            <w:vAlign w:val="center"/>
          </w:tcPr>
          <w:p w:rsidR="00B34ED4" w:rsidRDefault="004A6C9D">
            <w:pPr>
              <w:pStyle w:val="a6"/>
              <w:wordWrap w:val="0"/>
              <w:rPr>
                <w:b/>
                <w:bCs/>
                <w:color w:val="000000"/>
              </w:rPr>
            </w:pPr>
            <w:r>
              <w:rPr>
                <w:rFonts w:hint="eastAsia"/>
                <w:shd w:val="clear" w:color="auto" w:fill="FFFFFF"/>
              </w:rPr>
              <w:t>1</w:t>
            </w:r>
            <w:r>
              <w:rPr>
                <w:shd w:val="clear" w:color="auto" w:fill="FFFFFF"/>
              </w:rPr>
              <w:t>.期末</w:t>
            </w:r>
            <w:r>
              <w:rPr>
                <w:rFonts w:hint="eastAsia"/>
                <w:shd w:val="clear" w:color="auto" w:fill="FFFFFF"/>
              </w:rPr>
              <w:t>产品最后一个市场交易日</w:t>
            </w:r>
            <w:r>
              <w:rPr>
                <w:shd w:val="clear" w:color="auto" w:fill="FFFFFF"/>
              </w:rPr>
              <w:t>资产净值</w:t>
            </w:r>
          </w:p>
        </w:tc>
        <w:tc>
          <w:tcPr>
            <w:tcW w:w="5187" w:type="dxa"/>
            <w:noWrap/>
            <w:vAlign w:val="center"/>
          </w:tcPr>
          <w:p w:rsidR="00B34ED4" w:rsidRDefault="00B47A36">
            <w:pPr>
              <w:pStyle w:val="biaogeright"/>
              <w:jc w:val="center"/>
              <w:rPr>
                <w:b/>
                <w:bCs/>
                <w:color w:val="000000"/>
              </w:rPr>
            </w:pPr>
            <w:r>
              <w:rPr>
                <w:color w:val="000000"/>
              </w:rPr>
              <w:t>937,750,250.23</w:t>
            </w:r>
          </w:p>
        </w:tc>
      </w:tr>
      <w:tr w:rsidR="00B34ED4">
        <w:tc>
          <w:tcPr>
            <w:tcW w:w="4135" w:type="dxa"/>
            <w:noWrap/>
            <w:vAlign w:val="center"/>
          </w:tcPr>
          <w:p w:rsidR="00B34ED4" w:rsidRDefault="004A6C9D">
            <w:pPr>
              <w:pStyle w:val="a6"/>
              <w:wordWrap w:val="0"/>
              <w:rPr>
                <w:b/>
                <w:bCs/>
                <w:color w:val="000000"/>
              </w:rPr>
            </w:pPr>
            <w:r>
              <w:rPr>
                <w:rFonts w:hint="eastAsia"/>
                <w:shd w:val="clear" w:color="auto" w:fill="FFFFFF"/>
              </w:rPr>
              <w:t>2</w:t>
            </w:r>
            <w:r>
              <w:rPr>
                <w:shd w:val="clear" w:color="auto" w:fill="FFFFFF"/>
              </w:rPr>
              <w:t>.期末</w:t>
            </w:r>
            <w:r>
              <w:rPr>
                <w:rFonts w:hint="eastAsia"/>
                <w:shd w:val="clear" w:color="auto" w:fill="FFFFFF"/>
              </w:rPr>
              <w:t>产品最后一个市场交易日</w:t>
            </w:r>
            <w:r>
              <w:rPr>
                <w:shd w:val="clear" w:color="auto" w:fill="FFFFFF"/>
              </w:rPr>
              <w:t>份额净值</w:t>
            </w:r>
          </w:p>
        </w:tc>
        <w:tc>
          <w:tcPr>
            <w:tcW w:w="5187" w:type="dxa"/>
            <w:noWrap/>
            <w:vAlign w:val="center"/>
          </w:tcPr>
          <w:p w:rsidR="00B34ED4" w:rsidRDefault="00B47A36">
            <w:pPr>
              <w:pStyle w:val="biaogeright"/>
              <w:jc w:val="center"/>
              <w:rPr>
                <w:b/>
                <w:bCs/>
                <w:color w:val="000000"/>
              </w:rPr>
            </w:pPr>
            <w:r>
              <w:rPr>
                <w:color w:val="000000"/>
              </w:rPr>
              <w:t>1.0361</w:t>
            </w:r>
          </w:p>
        </w:tc>
      </w:tr>
      <w:tr w:rsidR="00B34ED4">
        <w:tc>
          <w:tcPr>
            <w:tcW w:w="4135" w:type="dxa"/>
            <w:noWrap/>
            <w:vAlign w:val="center"/>
          </w:tcPr>
          <w:p w:rsidR="00B34ED4" w:rsidRDefault="004A6C9D">
            <w:pPr>
              <w:pStyle w:val="a6"/>
              <w:wordWrap w:val="0"/>
              <w:rPr>
                <w:b/>
                <w:bCs/>
                <w:color w:val="000000"/>
              </w:rPr>
            </w:pPr>
            <w:r>
              <w:rPr>
                <w:rFonts w:hint="eastAsia"/>
                <w:shd w:val="clear" w:color="auto" w:fill="FFFFFF"/>
              </w:rPr>
              <w:t>3</w:t>
            </w:r>
            <w:r>
              <w:rPr>
                <w:shd w:val="clear" w:color="auto" w:fill="FFFFFF"/>
              </w:rPr>
              <w:t>.期末</w:t>
            </w:r>
            <w:r>
              <w:rPr>
                <w:rFonts w:hint="eastAsia"/>
                <w:shd w:val="clear" w:color="auto" w:fill="FFFFFF"/>
              </w:rPr>
              <w:t>产品最后一个市场交易日</w:t>
            </w:r>
            <w:r>
              <w:rPr>
                <w:shd w:val="clear" w:color="auto" w:fill="FFFFFF"/>
              </w:rPr>
              <w:t>份额</w:t>
            </w:r>
            <w:r>
              <w:rPr>
                <w:rFonts w:hint="eastAsia"/>
                <w:shd w:val="clear" w:color="auto" w:fill="FFFFFF"/>
              </w:rPr>
              <w:t>累计</w:t>
            </w:r>
            <w:r>
              <w:rPr>
                <w:shd w:val="clear" w:color="auto" w:fill="FFFFFF"/>
              </w:rPr>
              <w:t>净值</w:t>
            </w:r>
          </w:p>
        </w:tc>
        <w:tc>
          <w:tcPr>
            <w:tcW w:w="5187" w:type="dxa"/>
            <w:noWrap/>
            <w:vAlign w:val="center"/>
          </w:tcPr>
          <w:p w:rsidR="00B34ED4" w:rsidRDefault="00B47A36">
            <w:pPr>
              <w:pStyle w:val="biaogeright"/>
              <w:jc w:val="center"/>
              <w:rPr>
                <w:b/>
                <w:bCs/>
                <w:color w:val="000000"/>
              </w:rPr>
            </w:pPr>
            <w:r>
              <w:rPr>
                <w:color w:val="000000"/>
              </w:rPr>
              <w:t>1.1348</w:t>
            </w:r>
          </w:p>
        </w:tc>
      </w:tr>
    </w:tbl>
    <w:p w:rsidR="00B34ED4" w:rsidRDefault="004A6C9D">
      <w:pPr>
        <w:pStyle w:val="biaogeleft"/>
        <w:ind w:left="0"/>
        <w:rPr>
          <w:color w:val="000000"/>
        </w:rPr>
      </w:pPr>
      <w:r>
        <w:rPr>
          <w:rFonts w:hint="eastAsia"/>
        </w:rPr>
        <w:t>注：产品净值可能存在未扣除管理人及投资合作机构业绩报酬、赎回费等费用（如有）的情况，实际收益以兑付为准。</w:t>
      </w:r>
    </w:p>
    <w:p w:rsidR="00414405" w:rsidRDefault="00414405" w:rsidP="00414405">
      <w:pPr>
        <w:pStyle w:val="biaogeleft"/>
        <w:ind w:left="0"/>
        <w:rPr>
          <w:color w:val="000000"/>
        </w:rPr>
      </w:pPr>
    </w:p>
    <w:p w:rsidR="00414405" w:rsidRDefault="00414405" w:rsidP="00414405">
      <w:pPr>
        <w:widowControl/>
        <w:autoSpaceDE w:val="0"/>
        <w:autoSpaceDN w:val="0"/>
        <w:adjustRightInd w:val="0"/>
        <w:spacing w:before="24" w:line="288" w:lineRule="auto"/>
        <w:jc w:val="left"/>
        <w:outlineLvl w:val="1"/>
        <w:rPr>
          <w:rFonts w:ascii="宋体" w:hAnsi="宋体" w:cs="宋体"/>
          <w:color w:val="000000"/>
          <w:kern w:val="0"/>
          <w:sz w:val="24"/>
          <w:szCs w:val="24"/>
        </w:rPr>
      </w:pPr>
      <w:r>
        <w:rPr>
          <w:rFonts w:ascii="宋体" w:hAnsi="宋体" w:cs="宋体"/>
          <w:b/>
          <w:bCs/>
          <w:color w:val="000000"/>
          <w:kern w:val="0"/>
          <w:sz w:val="24"/>
          <w:szCs w:val="24"/>
        </w:rPr>
        <w:t xml:space="preserve">2.2 </w:t>
      </w:r>
      <w:r>
        <w:rPr>
          <w:rFonts w:ascii="宋体" w:hAnsi="宋体" w:cs="宋体" w:hint="eastAsia"/>
          <w:b/>
          <w:bCs/>
          <w:color w:val="000000"/>
          <w:kern w:val="0"/>
          <w:sz w:val="24"/>
          <w:szCs w:val="24"/>
        </w:rPr>
        <w:t>产品业绩比较基准</w:t>
      </w:r>
    </w:p>
    <w:p w:rsidR="00414405" w:rsidRDefault="00414405" w:rsidP="00414405">
      <w:pPr>
        <w:widowControl/>
        <w:autoSpaceDE w:val="0"/>
        <w:autoSpaceDN w:val="0"/>
        <w:adjustRightInd w:val="0"/>
        <w:spacing w:before="24" w:line="288" w:lineRule="auto"/>
        <w:ind w:left="15"/>
        <w:jc w:val="left"/>
        <w:rPr>
          <w:rFonts w:ascii="宋体" w:hAnsi="宋体" w:cs="宋体"/>
          <w:b/>
          <w:bCs/>
          <w:color w:val="000000"/>
          <w:kern w:val="0"/>
          <w:sz w:val="24"/>
          <w:szCs w:val="24"/>
        </w:rPr>
      </w:pPr>
      <w:r>
        <w:rPr>
          <w:rFonts w:ascii="宋体" w:hAnsi="宋体" w:cs="宋体"/>
          <w:b/>
          <w:bCs/>
          <w:color w:val="000000"/>
          <w:kern w:val="0"/>
          <w:sz w:val="24"/>
          <w:szCs w:val="24"/>
        </w:rPr>
        <w:t>2.2.1</w:t>
      </w:r>
      <w:r>
        <w:rPr>
          <w:rFonts w:ascii="宋体" w:hAnsi="宋体" w:cs="宋体" w:hint="eastAsia"/>
          <w:b/>
          <w:bCs/>
          <w:color w:val="000000"/>
          <w:kern w:val="0"/>
          <w:sz w:val="24"/>
          <w:szCs w:val="24"/>
        </w:rPr>
        <w:t>本报告期产品业绩比较基准</w:t>
      </w:r>
    </w:p>
    <w:tbl>
      <w:tblPr>
        <w:tblW w:w="6399" w:type="dxa"/>
        <w:tblInd w:w="108" w:type="dxa"/>
        <w:tblLayout w:type="fixed"/>
        <w:tblLook w:val="04A0"/>
      </w:tblPr>
      <w:tblGrid>
        <w:gridCol w:w="4046"/>
        <w:gridCol w:w="2353"/>
      </w:tblGrid>
      <w:tr w:rsidR="00414405"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414405" w:rsidRDefault="00414405"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阶段</w:t>
            </w:r>
          </w:p>
        </w:tc>
        <w:tc>
          <w:tcPr>
            <w:tcW w:w="2353" w:type="dxa"/>
            <w:tcBorders>
              <w:top w:val="single" w:sz="8" w:space="0" w:color="000000"/>
              <w:left w:val="single" w:sz="8" w:space="0" w:color="000000"/>
              <w:bottom w:val="single" w:sz="6" w:space="0" w:color="000000"/>
              <w:right w:val="single" w:sz="8" w:space="0" w:color="000000"/>
            </w:tcBorders>
            <w:vAlign w:val="center"/>
          </w:tcPr>
          <w:p w:rsidR="00414405" w:rsidRDefault="00414405" w:rsidP="001B0A45">
            <w:pPr>
              <w:widowControl/>
              <w:wordWrap w:val="0"/>
              <w:autoSpaceDE w:val="0"/>
              <w:autoSpaceDN w:val="0"/>
              <w:adjustRightInd w:val="0"/>
              <w:spacing w:before="29" w:line="288" w:lineRule="auto"/>
              <w:ind w:left="15"/>
              <w:jc w:val="center"/>
              <w:rPr>
                <w:rFonts w:ascii="宋体" w:hAnsi="宋体" w:cs="宋体"/>
                <w:color w:val="000000"/>
                <w:kern w:val="0"/>
                <w:sz w:val="24"/>
                <w:szCs w:val="24"/>
              </w:rPr>
            </w:pPr>
            <w:r>
              <w:rPr>
                <w:rFonts w:ascii="宋体" w:hAnsi="Calibri" w:cs="宋体" w:hint="eastAsia"/>
                <w:color w:val="000000"/>
                <w:kern w:val="0"/>
                <w:sz w:val="24"/>
                <w:szCs w:val="24"/>
              </w:rPr>
              <w:t>业绩比较基准</w:t>
            </w:r>
          </w:p>
        </w:tc>
      </w:tr>
      <w:tr w:rsidR="00A45E8E" w:rsidTr="001B0A45">
        <w:tc>
          <w:tcPr>
            <w:tcW w:w="4046" w:type="dxa"/>
            <w:tcBorders>
              <w:top w:val="single" w:sz="8" w:space="0" w:color="000000"/>
              <w:left w:val="single" w:sz="8" w:space="0" w:color="000000"/>
              <w:bottom w:val="single" w:sz="6" w:space="0" w:color="000000"/>
              <w:right w:val="single" w:sz="8" w:space="0" w:color="000000"/>
            </w:tcBorders>
            <w:vAlign w:val="center"/>
          </w:tcPr>
          <w:p w:rsidR="00A45E8E" w:rsidRDefault="00A45E8E" w:rsidP="00992B0C">
            <w:pPr>
              <w:pStyle w:val="biaogeleft"/>
              <w:wordWrap w:val="0"/>
              <w:rPr>
                <w:color w:val="000000"/>
              </w:rPr>
            </w:pPr>
            <w:r w:rsidRPr="00C20B0A">
              <w:rPr>
                <w:rFonts w:hint="eastAsia"/>
              </w:rPr>
              <w:t>2022年0</w:t>
            </w:r>
            <w:r>
              <w:rPr>
                <w:rFonts w:hint="eastAsia"/>
              </w:rPr>
              <w:t>7</w:t>
            </w:r>
            <w:r w:rsidRPr="00C20B0A">
              <w:rPr>
                <w:rFonts w:hint="eastAsia"/>
              </w:rPr>
              <w:t>月01日 - 2022年0</w:t>
            </w:r>
            <w:r>
              <w:rPr>
                <w:rFonts w:hint="eastAsia"/>
              </w:rPr>
              <w:t>9</w:t>
            </w:r>
            <w:r w:rsidRPr="00C20B0A">
              <w:rPr>
                <w:rFonts w:hint="eastAsia"/>
              </w:rPr>
              <w:t>月30日</w:t>
            </w:r>
          </w:p>
        </w:tc>
        <w:tc>
          <w:tcPr>
            <w:tcW w:w="2353" w:type="dxa"/>
            <w:tcBorders>
              <w:top w:val="single" w:sz="8" w:space="0" w:color="000000"/>
              <w:left w:val="single" w:sz="8" w:space="0" w:color="000000"/>
              <w:bottom w:val="single" w:sz="6" w:space="0" w:color="000000"/>
              <w:right w:val="single" w:sz="8" w:space="0" w:color="000000"/>
            </w:tcBorders>
            <w:vAlign w:val="center"/>
          </w:tcPr>
          <w:p w:rsidR="00A45E8E" w:rsidRDefault="00A45E8E" w:rsidP="00631002">
            <w:pPr>
              <w:widowControl/>
              <w:autoSpaceDE w:val="0"/>
              <w:autoSpaceDN w:val="0"/>
              <w:adjustRightInd w:val="0"/>
              <w:spacing w:before="29" w:line="288" w:lineRule="auto"/>
              <w:ind w:left="15"/>
              <w:jc w:val="right"/>
              <w:rPr>
                <w:rFonts w:ascii="宋体" w:hAnsi="宋体" w:cs="宋体"/>
                <w:color w:val="000000"/>
                <w:kern w:val="0"/>
                <w:sz w:val="24"/>
                <w:szCs w:val="24"/>
                <w:highlight w:val="yellow"/>
              </w:rPr>
            </w:pPr>
            <w:r>
              <w:rPr>
                <w:rFonts w:ascii="宋体" w:hAnsi="宋体" w:cs="宋体" w:hint="eastAsia"/>
                <w:color w:val="000000"/>
                <w:kern w:val="0"/>
                <w:sz w:val="24"/>
                <w:szCs w:val="24"/>
              </w:rPr>
              <w:t>4</w:t>
            </w:r>
            <w:r w:rsidR="002F3C76">
              <w:rPr>
                <w:rFonts w:ascii="宋体" w:hAnsi="宋体" w:cs="宋体" w:hint="eastAsia"/>
                <w:color w:val="000000"/>
                <w:kern w:val="0"/>
                <w:sz w:val="24"/>
                <w:szCs w:val="24"/>
              </w:rPr>
              <w:t>.12</w:t>
            </w:r>
            <w:r w:rsidRPr="000415F0">
              <w:rPr>
                <w:rFonts w:ascii="宋体" w:hAnsi="宋体" w:cs="宋体"/>
                <w:color w:val="000000"/>
                <w:kern w:val="0"/>
                <w:sz w:val="24"/>
                <w:szCs w:val="24"/>
              </w:rPr>
              <w:t>%</w:t>
            </w:r>
          </w:p>
        </w:tc>
      </w:tr>
    </w:tbl>
    <w:p w:rsidR="00C237E1" w:rsidRDefault="00C237E1">
      <w:pPr>
        <w:widowControl/>
        <w:jc w:val="left"/>
        <w:rPr>
          <w:rFonts w:ascii="宋体" w:hAnsi="宋体" w:cs="宋体"/>
          <w:color w:val="000000"/>
          <w:kern w:val="0"/>
          <w:sz w:val="24"/>
          <w:szCs w:val="24"/>
        </w:rPr>
      </w:pPr>
    </w:p>
    <w:p w:rsidR="00B34ED4" w:rsidRDefault="004A6C9D">
      <w:pPr>
        <w:pStyle w:val="dazhangjie"/>
        <w:rPr>
          <w:color w:val="000000"/>
        </w:rPr>
      </w:pPr>
      <w:r>
        <w:rPr>
          <w:rFonts w:hAnsi="Calibri" w:hint="eastAsia"/>
          <w:b/>
          <w:color w:val="000000"/>
        </w:rPr>
        <w:t>§3  管理人报告</w:t>
      </w:r>
    </w:p>
    <w:p w:rsidR="00A45E8E" w:rsidRDefault="00A45E8E" w:rsidP="00A45E8E">
      <w:pPr>
        <w:pStyle w:val="a6"/>
        <w:rPr>
          <w:b/>
          <w:color w:val="000000"/>
        </w:rPr>
      </w:pPr>
      <w:r>
        <w:rPr>
          <w:rFonts w:hint="eastAsia"/>
          <w:b/>
          <w:color w:val="000000"/>
        </w:rPr>
        <w:t>3</w:t>
      </w:r>
      <w:r>
        <w:rPr>
          <w:b/>
          <w:color w:val="000000"/>
        </w:rPr>
        <w:t>.1 报告期内</w:t>
      </w:r>
      <w:r>
        <w:rPr>
          <w:rFonts w:hint="eastAsia"/>
          <w:b/>
          <w:color w:val="000000"/>
        </w:rPr>
        <w:t>产品</w:t>
      </w:r>
      <w:r>
        <w:rPr>
          <w:b/>
          <w:color w:val="000000"/>
        </w:rPr>
        <w:t>的投资策略和运作分析</w:t>
      </w:r>
    </w:p>
    <w:p w:rsidR="00FD108F" w:rsidRPr="000F55F9" w:rsidRDefault="00FD108F" w:rsidP="00FD108F">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整体来看，三季度债券市场先涨后跌。</w:t>
      </w:r>
      <w:r w:rsidRPr="000F55F9">
        <w:rPr>
          <w:rFonts w:ascii="宋体" w:hAnsi="宋体"/>
          <w:color w:val="000000"/>
          <w:kern w:val="0"/>
          <w:sz w:val="24"/>
          <w:szCs w:val="24"/>
        </w:rPr>
        <w:t>7</w:t>
      </w:r>
      <w:r w:rsidRPr="000F55F9">
        <w:rPr>
          <w:rFonts w:ascii="宋体" w:hAnsi="宋体" w:hint="eastAsia"/>
          <w:color w:val="000000"/>
          <w:kern w:val="0"/>
          <w:sz w:val="24"/>
          <w:szCs w:val="24"/>
        </w:rPr>
        <w:t>月受到房地产风波叠加疫情对国内经济基本面预期造成的负面影响，债券收益率趋于下行。</w:t>
      </w:r>
      <w:r w:rsidRPr="000F55F9">
        <w:rPr>
          <w:rFonts w:ascii="宋体" w:hAnsi="宋体"/>
          <w:color w:val="000000"/>
          <w:kern w:val="0"/>
          <w:sz w:val="24"/>
          <w:szCs w:val="24"/>
        </w:rPr>
        <w:t>8</w:t>
      </w:r>
      <w:r w:rsidRPr="000F55F9">
        <w:rPr>
          <w:rFonts w:ascii="宋体" w:hAnsi="宋体" w:hint="eastAsia"/>
          <w:color w:val="000000"/>
          <w:kern w:val="0"/>
          <w:sz w:val="24"/>
          <w:szCs w:val="24"/>
        </w:rPr>
        <w:t>月央行超预期降息，资金利率不断走低，债市收益率继续下行。随着稳增长政策的加码与持续推进，国内经济与金融数据</w:t>
      </w:r>
      <w:r w:rsidRPr="000F55F9">
        <w:rPr>
          <w:rFonts w:ascii="宋体" w:hAnsi="宋体" w:hint="eastAsia"/>
          <w:color w:val="000000"/>
          <w:kern w:val="0"/>
          <w:sz w:val="24"/>
          <w:szCs w:val="24"/>
        </w:rPr>
        <w:lastRenderedPageBreak/>
        <w:t>边际企稳回暖，叠加跨季资金波动、美国鹰派加息及人民币兑美元持续贬值影响，</w:t>
      </w:r>
      <w:r w:rsidRPr="000F55F9">
        <w:rPr>
          <w:rFonts w:ascii="宋体" w:hAnsi="宋体"/>
          <w:color w:val="000000"/>
          <w:kern w:val="0"/>
          <w:sz w:val="24"/>
          <w:szCs w:val="24"/>
        </w:rPr>
        <w:t>9</w:t>
      </w:r>
      <w:r w:rsidRPr="000F55F9">
        <w:rPr>
          <w:rFonts w:ascii="宋体" w:hAnsi="宋体" w:hint="eastAsia"/>
          <w:color w:val="000000"/>
          <w:kern w:val="0"/>
          <w:sz w:val="24"/>
          <w:szCs w:val="24"/>
        </w:rPr>
        <w:t>月债市震荡回调。总体来看，截止季末</w:t>
      </w:r>
      <w:r w:rsidRPr="000F55F9">
        <w:rPr>
          <w:rFonts w:ascii="宋体" w:hAnsi="宋体"/>
          <w:color w:val="000000"/>
          <w:kern w:val="0"/>
          <w:sz w:val="24"/>
          <w:szCs w:val="24"/>
        </w:rPr>
        <w:t>10</w:t>
      </w:r>
      <w:r w:rsidRPr="000F55F9">
        <w:rPr>
          <w:rFonts w:ascii="宋体" w:hAnsi="宋体" w:hint="eastAsia"/>
          <w:color w:val="000000"/>
          <w:kern w:val="0"/>
          <w:sz w:val="24"/>
          <w:szCs w:val="24"/>
        </w:rPr>
        <w:t>年期国债收益率下行</w:t>
      </w:r>
      <w:r w:rsidRPr="000F55F9">
        <w:rPr>
          <w:rFonts w:ascii="宋体" w:hAnsi="宋体"/>
          <w:color w:val="000000"/>
          <w:kern w:val="0"/>
          <w:sz w:val="24"/>
          <w:szCs w:val="24"/>
        </w:rPr>
        <w:t>6bp</w:t>
      </w:r>
      <w:r w:rsidRPr="000F55F9">
        <w:rPr>
          <w:rFonts w:ascii="宋体" w:hAnsi="宋体" w:hint="eastAsia"/>
          <w:color w:val="000000"/>
          <w:kern w:val="0"/>
          <w:sz w:val="24"/>
          <w:szCs w:val="24"/>
        </w:rPr>
        <w:t>至</w:t>
      </w:r>
      <w:r w:rsidRPr="000F55F9">
        <w:rPr>
          <w:rFonts w:ascii="宋体" w:hAnsi="宋体"/>
          <w:color w:val="000000"/>
          <w:kern w:val="0"/>
          <w:sz w:val="24"/>
          <w:szCs w:val="24"/>
        </w:rPr>
        <w:t>2.76%</w:t>
      </w:r>
      <w:r w:rsidRPr="000F55F9">
        <w:rPr>
          <w:rFonts w:ascii="宋体" w:hAnsi="宋体" w:hint="eastAsia"/>
          <w:color w:val="000000"/>
          <w:kern w:val="0"/>
          <w:sz w:val="24"/>
          <w:szCs w:val="24"/>
        </w:rPr>
        <w:t>，</w:t>
      </w:r>
      <w:r w:rsidRPr="000F55F9">
        <w:rPr>
          <w:rFonts w:ascii="宋体" w:hAnsi="宋体"/>
          <w:color w:val="000000"/>
          <w:kern w:val="0"/>
          <w:sz w:val="24"/>
          <w:szCs w:val="24"/>
        </w:rPr>
        <w:t>10</w:t>
      </w:r>
      <w:r w:rsidRPr="000F55F9">
        <w:rPr>
          <w:rFonts w:ascii="宋体" w:hAnsi="宋体" w:hint="eastAsia"/>
          <w:color w:val="000000"/>
          <w:kern w:val="0"/>
          <w:sz w:val="24"/>
          <w:szCs w:val="24"/>
        </w:rPr>
        <w:t>年期国开债收益率下行</w:t>
      </w:r>
      <w:r w:rsidRPr="000F55F9">
        <w:rPr>
          <w:rFonts w:ascii="宋体" w:hAnsi="宋体"/>
          <w:color w:val="000000"/>
          <w:kern w:val="0"/>
          <w:sz w:val="24"/>
          <w:szCs w:val="24"/>
        </w:rPr>
        <w:t>11bp</w:t>
      </w:r>
      <w:r w:rsidRPr="000F55F9">
        <w:rPr>
          <w:rFonts w:ascii="宋体" w:hAnsi="宋体" w:hint="eastAsia"/>
          <w:color w:val="000000"/>
          <w:kern w:val="0"/>
          <w:sz w:val="24"/>
          <w:szCs w:val="24"/>
        </w:rPr>
        <w:t>至</w:t>
      </w:r>
      <w:r w:rsidRPr="000F55F9">
        <w:rPr>
          <w:rFonts w:ascii="宋体" w:hAnsi="宋体"/>
          <w:color w:val="000000"/>
          <w:kern w:val="0"/>
          <w:sz w:val="24"/>
          <w:szCs w:val="24"/>
        </w:rPr>
        <w:t>2.93%</w:t>
      </w:r>
      <w:r w:rsidRPr="000F55F9">
        <w:rPr>
          <w:rFonts w:ascii="宋体" w:hAnsi="宋体" w:hint="eastAsia"/>
          <w:color w:val="000000"/>
          <w:kern w:val="0"/>
          <w:sz w:val="24"/>
          <w:szCs w:val="24"/>
        </w:rPr>
        <w:t>，中债新综合财富指数上涨</w:t>
      </w:r>
      <w:r w:rsidRPr="000F55F9">
        <w:rPr>
          <w:rFonts w:ascii="宋体" w:hAnsi="宋体"/>
          <w:color w:val="000000"/>
          <w:kern w:val="0"/>
          <w:sz w:val="24"/>
          <w:szCs w:val="24"/>
        </w:rPr>
        <w:t>1.02%</w:t>
      </w:r>
      <w:r w:rsidRPr="000F55F9">
        <w:rPr>
          <w:rFonts w:ascii="宋体" w:hAnsi="宋体" w:hint="eastAsia"/>
          <w:color w:val="000000"/>
          <w:kern w:val="0"/>
          <w:sz w:val="24"/>
          <w:szCs w:val="24"/>
        </w:rPr>
        <w:t>。</w:t>
      </w:r>
    </w:p>
    <w:p w:rsidR="00FD108F" w:rsidRPr="000F55F9" w:rsidRDefault="00FD108F" w:rsidP="00FD108F">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宽信用政策的进一步推进，特别是</w:t>
      </w:r>
      <w:r w:rsidRPr="000F55F9">
        <w:rPr>
          <w:rFonts w:ascii="宋体" w:hAnsi="宋体"/>
          <w:color w:val="000000"/>
          <w:kern w:val="0"/>
          <w:sz w:val="24"/>
          <w:szCs w:val="24"/>
        </w:rPr>
        <w:t>9</w:t>
      </w:r>
      <w:r w:rsidRPr="000F55F9">
        <w:rPr>
          <w:rFonts w:ascii="宋体" w:hAnsi="宋体" w:hint="eastAsia"/>
          <w:color w:val="000000"/>
          <w:kern w:val="0"/>
          <w:sz w:val="24"/>
          <w:szCs w:val="24"/>
        </w:rPr>
        <w:t>月末的三项促进居民购房需求的全国性地产政策相继推出，虽然政策的效果有待检验，但短期情绪上对债市偏不利，叠加近期经济数据如制造业</w:t>
      </w:r>
      <w:r w:rsidRPr="000F55F9">
        <w:rPr>
          <w:rFonts w:ascii="宋体" w:hAnsi="宋体"/>
          <w:color w:val="000000"/>
          <w:kern w:val="0"/>
          <w:sz w:val="24"/>
          <w:szCs w:val="24"/>
        </w:rPr>
        <w:t>PMI</w:t>
      </w:r>
      <w:r w:rsidRPr="000F55F9">
        <w:rPr>
          <w:rFonts w:ascii="宋体" w:hAnsi="宋体" w:hint="eastAsia"/>
          <w:color w:val="000000"/>
          <w:kern w:val="0"/>
          <w:sz w:val="24"/>
          <w:szCs w:val="24"/>
        </w:rPr>
        <w:t>和二线地产销售略回暖等，债市近期出现调整。然而与此同时，国内需求和消费依然疲弱、出口回落压力加大、疫情散点爆发等因素也制约着利率大幅上行的空间。进入</w:t>
      </w:r>
      <w:r w:rsidRPr="000F55F9">
        <w:rPr>
          <w:rFonts w:ascii="宋体" w:hAnsi="宋体"/>
          <w:color w:val="000000"/>
          <w:kern w:val="0"/>
          <w:sz w:val="24"/>
          <w:szCs w:val="24"/>
        </w:rPr>
        <w:t>10</w:t>
      </w:r>
      <w:r w:rsidRPr="000F55F9">
        <w:rPr>
          <w:rFonts w:ascii="宋体" w:hAnsi="宋体" w:hint="eastAsia"/>
          <w:color w:val="000000"/>
          <w:kern w:val="0"/>
          <w:sz w:val="24"/>
          <w:szCs w:val="24"/>
        </w:rPr>
        <w:t>月后，受益于财政支出和跨季结束，预计上半月流动性边际转宽松，下半月流动性缺口增大，流动性环境相对依赖央行对冲操作。目前汇率快速贬值对货币政策的掣肘较前期相对减弱，同时二十大会议期间政策大概率仍会继续呵护，整体资金面预计中枢或有波动，但不具备大幅收紧的条件。整体来看，当前多空因素交织，对债市保持中性震荡的观点，继续关注外部汇率、内部社融等数据以及政策面消息的边际变化。</w:t>
      </w:r>
    </w:p>
    <w:p w:rsidR="00FD108F" w:rsidRPr="000F55F9" w:rsidRDefault="00FD108F" w:rsidP="00FD108F">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三季度以来产品操作稳健中性，积极寻找曲线相对凸点、行业板块内具备相对性价比的个券，为组合适度增厚票息收益；在资金宽松的环境里适当运用杠杆增厚收益；此外，积极参与长期债券的交易机会。下一阶段，产品将继续围绕稳健回报的收益目标进行操作，审慎精选票息品种，久期维持中性水平，同时做好市场走势的跟踪与研判，挖掘潜在投资机会。</w:t>
      </w:r>
    </w:p>
    <w:p w:rsidR="00FD108F" w:rsidRDefault="00FD108F" w:rsidP="00FD108F">
      <w:pPr>
        <w:pStyle w:val="a6"/>
        <w:rPr>
          <w:b/>
        </w:rPr>
      </w:pPr>
      <w:r>
        <w:rPr>
          <w:rFonts w:hint="eastAsia"/>
          <w:b/>
        </w:rPr>
        <w:t xml:space="preserve">3.2 </w:t>
      </w:r>
      <w:r>
        <w:rPr>
          <w:b/>
        </w:rPr>
        <w:t>报告期内</w:t>
      </w:r>
      <w:r>
        <w:rPr>
          <w:rFonts w:hint="eastAsia"/>
          <w:b/>
        </w:rPr>
        <w:t>产品</w:t>
      </w:r>
      <w:r>
        <w:rPr>
          <w:b/>
        </w:rPr>
        <w:t>的</w:t>
      </w:r>
      <w:r>
        <w:rPr>
          <w:rFonts w:hint="eastAsia"/>
          <w:b/>
        </w:rPr>
        <w:t>流动性风险</w:t>
      </w:r>
      <w:r>
        <w:rPr>
          <w:b/>
        </w:rPr>
        <w:t>分析</w:t>
      </w:r>
    </w:p>
    <w:p w:rsidR="00FD108F" w:rsidRPr="000F55F9" w:rsidRDefault="00FD108F" w:rsidP="00FD108F">
      <w:pPr>
        <w:spacing w:line="360" w:lineRule="auto"/>
        <w:ind w:firstLineChars="200" w:firstLine="480"/>
        <w:rPr>
          <w:rFonts w:ascii="宋体" w:hAnsi="宋体"/>
          <w:color w:val="000000"/>
          <w:kern w:val="0"/>
          <w:sz w:val="24"/>
          <w:szCs w:val="24"/>
        </w:rPr>
      </w:pPr>
      <w:r w:rsidRPr="000F55F9">
        <w:rPr>
          <w:rFonts w:ascii="宋体" w:hAnsi="宋体" w:hint="eastAsia"/>
          <w:color w:val="000000"/>
          <w:kern w:val="0"/>
          <w:sz w:val="24"/>
          <w:szCs w:val="24"/>
        </w:rPr>
        <w:t>今年以来资金环境整体宽松，产品始终维持了合理的流动性资产仓位。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4ED4" w:rsidRDefault="004A6C9D">
      <w:pPr>
        <w:pStyle w:val="a6"/>
        <w:rPr>
          <w:b/>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B47A36" w:rsidRDefault="00B47A36">
      <w:pPr>
        <w:spacing w:line="360" w:lineRule="auto"/>
        <w:ind w:firstLineChars="200" w:firstLine="480"/>
        <w:rPr>
          <w:rFonts w:ascii="宋体" w:hAnsi="宋体"/>
          <w:color w:val="000000"/>
          <w:kern w:val="0"/>
          <w:sz w:val="24"/>
          <w:szCs w:val="24"/>
        </w:rPr>
      </w:pPr>
      <w:r>
        <w:rPr>
          <w:rFonts w:ascii="宋体" w:hAnsi="宋体"/>
          <w:color w:val="000000"/>
          <w:kern w:val="0"/>
          <w:sz w:val="24"/>
          <w:szCs w:val="24"/>
        </w:rPr>
        <w:t>截至报告期末,本产品份额净值为1.0361元。</w:t>
      </w:r>
    </w:p>
    <w:p w:rsidR="00B34ED4" w:rsidRDefault="00B34ED4">
      <w:pPr>
        <w:spacing w:line="360" w:lineRule="auto"/>
        <w:ind w:firstLineChars="200" w:firstLine="480"/>
        <w:rPr>
          <w:rFonts w:ascii="宋体" w:hAnsi="宋体"/>
          <w:sz w:val="24"/>
          <w:szCs w:val="24"/>
        </w:rPr>
      </w:pPr>
    </w:p>
    <w:p w:rsidR="00B34ED4" w:rsidRDefault="004A6C9D">
      <w:pPr>
        <w:pStyle w:val="dazhangjie"/>
        <w:rPr>
          <w:color w:val="000000"/>
        </w:rPr>
      </w:pPr>
      <w:r>
        <w:rPr>
          <w:rFonts w:hAnsi="Calibri" w:hint="eastAsia"/>
          <w:b/>
          <w:color w:val="000000"/>
        </w:rPr>
        <w:t>§4  投资组合报告</w:t>
      </w:r>
    </w:p>
    <w:p w:rsidR="00B34ED4" w:rsidRDefault="004A6C9D">
      <w:pPr>
        <w:pStyle w:val="zhangjiep"/>
        <w:ind w:left="0"/>
      </w:pPr>
      <w:r>
        <w:rPr>
          <w:rFonts w:hint="eastAsia"/>
          <w:b/>
          <w:bCs/>
        </w:rPr>
        <w:t>4.1 报告期末产品资产组合情况</w:t>
      </w:r>
    </w:p>
    <w:tbl>
      <w:tblPr>
        <w:tblW w:w="0" w:type="auto"/>
        <w:tblInd w:w="108" w:type="dxa"/>
        <w:tblLayout w:type="fixed"/>
        <w:tblLook w:val="04A0"/>
      </w:tblPr>
      <w:tblGrid>
        <w:gridCol w:w="891"/>
        <w:gridCol w:w="3078"/>
        <w:gridCol w:w="2567"/>
        <w:gridCol w:w="2395"/>
      </w:tblGrid>
      <w:tr w:rsidR="00B34ED4">
        <w:tc>
          <w:tcPr>
            <w:tcW w:w="891" w:type="dxa"/>
            <w:tcBorders>
              <w:top w:val="single" w:sz="8" w:space="0" w:color="000000"/>
              <w:left w:val="single" w:sz="8" w:space="0" w:color="000000"/>
              <w:bottom w:val="single" w:sz="8" w:space="0" w:color="000000"/>
              <w:right w:val="single" w:sz="8" w:space="0" w:color="000000"/>
            </w:tcBorders>
            <w:noWrap/>
            <w:vAlign w:val="bottom"/>
          </w:tcPr>
          <w:p w:rsidR="00B34ED4" w:rsidRDefault="004A6C9D">
            <w:pPr>
              <w:pStyle w:val="biaogecenter"/>
              <w:rPr>
                <w:color w:val="000000"/>
              </w:rPr>
            </w:pPr>
            <w:r>
              <w:rPr>
                <w:rFonts w:hint="eastAsia"/>
                <w:color w:val="000000"/>
              </w:rPr>
              <w:t>序号</w:t>
            </w:r>
          </w:p>
        </w:tc>
        <w:tc>
          <w:tcPr>
            <w:tcW w:w="3078" w:type="dxa"/>
            <w:tcBorders>
              <w:top w:val="single" w:sz="8" w:space="0" w:color="000000"/>
              <w:left w:val="single" w:sz="8" w:space="0" w:color="000000"/>
              <w:bottom w:val="single" w:sz="8" w:space="0" w:color="000000"/>
              <w:right w:val="single" w:sz="8" w:space="0" w:color="000000"/>
            </w:tcBorders>
            <w:noWrap/>
            <w:vAlign w:val="bottom"/>
          </w:tcPr>
          <w:p w:rsidR="00B34ED4" w:rsidRDefault="004A6C9D">
            <w:pPr>
              <w:pStyle w:val="biaogecenter"/>
              <w:rPr>
                <w:color w:val="000000"/>
              </w:rPr>
            </w:pPr>
            <w:r>
              <w:rPr>
                <w:rFonts w:hint="eastAsia"/>
                <w:color w:val="000000"/>
              </w:rPr>
              <w:t>资产类别</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rPr>
                <w:color w:val="000000"/>
              </w:rPr>
            </w:pPr>
            <w:r>
              <w:rPr>
                <w:rFonts w:hint="eastAsia"/>
                <w:color w:val="000000"/>
              </w:rPr>
              <w:t>穿透前占总资产比例</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rPr>
                <w:color w:val="000000"/>
              </w:rPr>
            </w:pPr>
            <w:r>
              <w:rPr>
                <w:rFonts w:hint="eastAsia"/>
                <w:color w:val="000000"/>
              </w:rPr>
              <w:t>穿透后占总资产比例</w:t>
            </w:r>
          </w:p>
        </w:tc>
      </w:tr>
      <w:tr w:rsidR="000E2A58">
        <w:tc>
          <w:tcPr>
            <w:tcW w:w="891" w:type="dxa"/>
            <w:tcBorders>
              <w:top w:val="single" w:sz="8" w:space="0" w:color="000000"/>
              <w:left w:val="single" w:sz="8" w:space="0" w:color="000000"/>
              <w:bottom w:val="single" w:sz="8" w:space="0" w:color="000000"/>
              <w:right w:val="single" w:sz="8" w:space="0" w:color="000000"/>
            </w:tcBorders>
            <w:noWrap/>
            <w:vAlign w:val="bottom"/>
          </w:tcPr>
          <w:p w:rsidR="000E2A58" w:rsidRDefault="000E2A58">
            <w:pPr>
              <w:pStyle w:val="biaogecenter"/>
              <w:rPr>
                <w:color w:val="000000"/>
              </w:rPr>
            </w:pPr>
            <w:r>
              <w:rPr>
                <w:rFonts w:hint="eastAsia"/>
                <w:color w:val="000000"/>
              </w:rPr>
              <w:t>1</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rFonts w:hint="eastAsia"/>
                <w:color w:val="000000"/>
              </w:rPr>
              <w:t>固定收益类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color w:val="000000"/>
              </w:rPr>
              <w:t>100.00%</w:t>
            </w:r>
          </w:p>
        </w:tc>
      </w:tr>
      <w:tr w:rsidR="000E2A58">
        <w:tc>
          <w:tcPr>
            <w:tcW w:w="891" w:type="dxa"/>
            <w:tcBorders>
              <w:top w:val="single" w:sz="8" w:space="0" w:color="000000"/>
              <w:left w:val="single" w:sz="8" w:space="0" w:color="000000"/>
              <w:bottom w:val="single" w:sz="8" w:space="0" w:color="000000"/>
              <w:right w:val="single" w:sz="8" w:space="0" w:color="000000"/>
            </w:tcBorders>
            <w:noWrap/>
            <w:vAlign w:val="bottom"/>
          </w:tcPr>
          <w:p w:rsidR="000E2A58" w:rsidRDefault="000E2A58">
            <w:pPr>
              <w:pStyle w:val="biaogecenter"/>
              <w:rPr>
                <w:color w:val="000000"/>
              </w:rPr>
            </w:pPr>
            <w:r>
              <w:rPr>
                <w:rFonts w:hint="eastAsia"/>
                <w:color w:val="000000"/>
              </w:rPr>
              <w:lastRenderedPageBreak/>
              <w:t>2</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rFonts w:hint="eastAsia"/>
                <w:color w:val="000000"/>
              </w:rPr>
              <w:t>权益类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color w:val="000000"/>
              </w:rPr>
              <w:t>0.00%</w:t>
            </w:r>
          </w:p>
        </w:tc>
      </w:tr>
      <w:tr w:rsidR="000E2A58">
        <w:tc>
          <w:tcPr>
            <w:tcW w:w="891" w:type="dxa"/>
            <w:tcBorders>
              <w:top w:val="single" w:sz="8" w:space="0" w:color="000000"/>
              <w:left w:val="single" w:sz="8" w:space="0" w:color="000000"/>
              <w:bottom w:val="single" w:sz="8" w:space="0" w:color="000000"/>
              <w:right w:val="single" w:sz="8" w:space="0" w:color="000000"/>
            </w:tcBorders>
            <w:noWrap/>
            <w:vAlign w:val="bottom"/>
          </w:tcPr>
          <w:p w:rsidR="000E2A58" w:rsidRDefault="000E2A58">
            <w:pPr>
              <w:pStyle w:val="biaogecenter"/>
              <w:rPr>
                <w:color w:val="000000"/>
              </w:rPr>
            </w:pPr>
            <w:r>
              <w:rPr>
                <w:rFonts w:hint="eastAsia"/>
                <w:color w:val="000000"/>
              </w:rPr>
              <w:t>3</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rFonts w:hint="eastAsia"/>
                <w:color w:val="000000"/>
              </w:rPr>
              <w:t>商品及金融衍生品类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color w:val="000000"/>
              </w:rPr>
              <w:t>0.00%</w:t>
            </w:r>
          </w:p>
        </w:tc>
      </w:tr>
      <w:tr w:rsidR="000E2A58">
        <w:tc>
          <w:tcPr>
            <w:tcW w:w="891" w:type="dxa"/>
            <w:tcBorders>
              <w:top w:val="single" w:sz="8" w:space="0" w:color="000000"/>
              <w:left w:val="single" w:sz="8" w:space="0" w:color="000000"/>
              <w:bottom w:val="single" w:sz="8" w:space="0" w:color="000000"/>
              <w:right w:val="single" w:sz="8" w:space="0" w:color="000000"/>
            </w:tcBorders>
            <w:noWrap/>
            <w:vAlign w:val="bottom"/>
          </w:tcPr>
          <w:p w:rsidR="000E2A58" w:rsidRDefault="000E2A58">
            <w:pPr>
              <w:pStyle w:val="biaogecenter"/>
              <w:rPr>
                <w:color w:val="000000"/>
              </w:rPr>
            </w:pPr>
            <w:r>
              <w:rPr>
                <w:rFonts w:hint="eastAsia"/>
                <w:color w:val="000000"/>
              </w:rPr>
              <w:t>4</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rFonts w:hint="eastAsia"/>
                <w:color w:val="000000"/>
              </w:rPr>
              <w:t>混合类</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color w:val="000000"/>
              </w:rPr>
              <w:t>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color w:val="000000"/>
              </w:rPr>
              <w:t>0.00%</w:t>
            </w:r>
          </w:p>
        </w:tc>
      </w:tr>
      <w:tr w:rsidR="000E2A58">
        <w:tc>
          <w:tcPr>
            <w:tcW w:w="891" w:type="dxa"/>
            <w:tcBorders>
              <w:top w:val="single" w:sz="8" w:space="0" w:color="000000"/>
              <w:left w:val="single" w:sz="8" w:space="0" w:color="000000"/>
              <w:bottom w:val="single" w:sz="8" w:space="0" w:color="000000"/>
              <w:right w:val="single" w:sz="8" w:space="0" w:color="000000"/>
            </w:tcBorders>
            <w:noWrap/>
            <w:vAlign w:val="bottom"/>
          </w:tcPr>
          <w:p w:rsidR="000E2A58" w:rsidRDefault="000E2A58">
            <w:pPr>
              <w:pStyle w:val="biaogecenter"/>
              <w:rPr>
                <w:color w:val="000000"/>
              </w:rPr>
            </w:pPr>
            <w:r>
              <w:rPr>
                <w:rFonts w:hint="eastAsia"/>
                <w:color w:val="000000"/>
              </w:rPr>
              <w:t>5</w:t>
            </w:r>
          </w:p>
        </w:tc>
        <w:tc>
          <w:tcPr>
            <w:tcW w:w="3078"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rFonts w:hint="eastAsia"/>
                <w:color w:val="000000"/>
              </w:rPr>
              <w:t>合计</w:t>
            </w:r>
          </w:p>
        </w:tc>
        <w:tc>
          <w:tcPr>
            <w:tcW w:w="2567"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color w:val="000000"/>
              </w:rPr>
              <w:t>100.00%</w:t>
            </w:r>
          </w:p>
        </w:tc>
        <w:tc>
          <w:tcPr>
            <w:tcW w:w="2395" w:type="dxa"/>
            <w:tcBorders>
              <w:top w:val="single" w:sz="8" w:space="0" w:color="000000"/>
              <w:left w:val="single" w:sz="8" w:space="0" w:color="000000"/>
              <w:bottom w:val="single" w:sz="8" w:space="0" w:color="000000"/>
              <w:right w:val="single" w:sz="8" w:space="0" w:color="000000"/>
            </w:tcBorders>
            <w:noWrap/>
            <w:vAlign w:val="center"/>
          </w:tcPr>
          <w:p w:rsidR="000E2A58" w:rsidRPr="006D2803" w:rsidRDefault="000E2A58" w:rsidP="00D24C4B">
            <w:pPr>
              <w:pStyle w:val="biaogecenter"/>
              <w:rPr>
                <w:color w:val="000000"/>
              </w:rPr>
            </w:pPr>
            <w:r w:rsidRPr="006D2803">
              <w:rPr>
                <w:color w:val="000000"/>
              </w:rPr>
              <w:t>100.00%</w:t>
            </w:r>
          </w:p>
        </w:tc>
      </w:tr>
    </w:tbl>
    <w:p w:rsidR="00B34ED4" w:rsidRDefault="00B34ED4">
      <w:pPr>
        <w:widowControl/>
        <w:jc w:val="left"/>
        <w:rPr>
          <w:rFonts w:ascii="宋体" w:hAnsi="宋体" w:cs="宋体"/>
          <w:color w:val="000000"/>
          <w:kern w:val="0"/>
          <w:sz w:val="24"/>
          <w:szCs w:val="24"/>
        </w:rPr>
      </w:pPr>
      <w:bookmarkStart w:id="0" w:name="_GoBack"/>
      <w:bookmarkEnd w:id="0"/>
    </w:p>
    <w:p w:rsidR="00B34ED4" w:rsidRDefault="004A6C9D">
      <w:pPr>
        <w:pStyle w:val="zhangjiep"/>
        <w:rPr>
          <w:b/>
          <w:bCs/>
          <w:color w:val="000000"/>
        </w:rPr>
      </w:pPr>
      <w:r>
        <w:rPr>
          <w:rFonts w:hint="eastAsia"/>
          <w:b/>
          <w:bCs/>
          <w:color w:val="000000"/>
        </w:rPr>
        <w:t>4.2 报告期末按公允价值占产品资产净值比例大小排序的前十名资产投资明细</w:t>
      </w:r>
    </w:p>
    <w:tbl>
      <w:tblPr>
        <w:tblW w:w="0" w:type="auto"/>
        <w:tblInd w:w="93" w:type="dxa"/>
        <w:tblLayout w:type="fixed"/>
        <w:tblLook w:val="04A0"/>
      </w:tblPr>
      <w:tblGrid>
        <w:gridCol w:w="582"/>
        <w:gridCol w:w="1728"/>
        <w:gridCol w:w="2690"/>
        <w:gridCol w:w="2035"/>
        <w:gridCol w:w="1765"/>
      </w:tblGrid>
      <w:tr w:rsidR="00B34ED4">
        <w:trPr>
          <w:trHeight w:val="870"/>
        </w:trPr>
        <w:tc>
          <w:tcPr>
            <w:tcW w:w="582" w:type="dxa"/>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noWrap/>
            <w:vAlign w:val="center"/>
          </w:tcPr>
          <w:p w:rsidR="00B34ED4" w:rsidRDefault="004A6C9D">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noWrap/>
            <w:vAlign w:val="center"/>
          </w:tcPr>
          <w:p w:rsidR="00B34ED4" w:rsidRDefault="004A6C9D">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noWrap/>
            <w:vAlign w:val="center"/>
          </w:tcPr>
          <w:p w:rsidR="00B34ED4" w:rsidRDefault="004A6C9D">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noWrap/>
            <w:vAlign w:val="center"/>
          </w:tcPr>
          <w:p w:rsidR="00B34ED4" w:rsidRDefault="004A6C9D">
            <w:pPr>
              <w:pStyle w:val="biaogecenter"/>
              <w:wordWrap w:val="0"/>
              <w:rPr>
                <w:color w:val="000000"/>
              </w:rPr>
            </w:pPr>
            <w:r>
              <w:rPr>
                <w:rFonts w:hint="eastAsia"/>
                <w:color w:val="000000"/>
              </w:rPr>
              <w:t>占产品资产净值比例（％）</w:t>
            </w:r>
          </w:p>
        </w:tc>
      </w:tr>
      <w:tr w:rsidR="00AC5A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5AED" w:rsidRDefault="00AC5AED">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5AED" w:rsidRPr="00AC5AED" w:rsidRDefault="00AC5AED" w:rsidP="00AC5AED">
            <w:pPr>
              <w:pStyle w:val="biaogecenter"/>
              <w:wordWrap w:val="0"/>
              <w:rPr>
                <w:color w:val="000000"/>
              </w:rPr>
            </w:pPr>
            <w:r w:rsidRPr="00AC5AED">
              <w:rPr>
                <w:rFonts w:hint="eastAsia"/>
                <w:color w:val="000000"/>
              </w:rPr>
              <w:t>22088034</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22江宁经开01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175,217,317.00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18.68</w:t>
            </w:r>
          </w:p>
        </w:tc>
      </w:tr>
      <w:tr w:rsidR="00AC5A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5AED" w:rsidRDefault="00AC5AED">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5AED" w:rsidRPr="00AC5AED" w:rsidRDefault="00AC5AED" w:rsidP="00AC5AED">
            <w:pPr>
              <w:pStyle w:val="biaogecenter"/>
              <w:wordWrap w:val="0"/>
              <w:rPr>
                <w:color w:val="000000"/>
              </w:rPr>
            </w:pPr>
            <w:r w:rsidRPr="00AC5AED">
              <w:rPr>
                <w:rFonts w:hint="eastAsia"/>
                <w:color w:val="000000"/>
              </w:rPr>
              <w:t>22088032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22淮安新城01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100,116,648.14</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10.68</w:t>
            </w:r>
          </w:p>
        </w:tc>
      </w:tr>
      <w:tr w:rsidR="00AC5A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5AED" w:rsidRDefault="00AC5AED">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5AED" w:rsidRPr="00AC5AED" w:rsidRDefault="00AC5AED" w:rsidP="00AC5AED">
            <w:pPr>
              <w:pStyle w:val="biaogecenter"/>
              <w:wordWrap w:val="0"/>
              <w:rPr>
                <w:color w:val="000000"/>
              </w:rPr>
            </w:pPr>
            <w:r w:rsidRPr="00AC5AED">
              <w:rPr>
                <w:rFonts w:hint="eastAsia"/>
                <w:color w:val="000000"/>
              </w:rPr>
              <w:t>22088069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22华宇投资01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90,057,564.18</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9.60</w:t>
            </w:r>
          </w:p>
        </w:tc>
      </w:tr>
      <w:tr w:rsidR="00AC5A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5AED" w:rsidRDefault="00AC5AED">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5AED" w:rsidRPr="00AC5AED" w:rsidRDefault="00AC5AED" w:rsidP="00AC5AED">
            <w:pPr>
              <w:pStyle w:val="biaogecenter"/>
              <w:wordWrap w:val="0"/>
              <w:rPr>
                <w:color w:val="000000"/>
              </w:rPr>
            </w:pPr>
            <w:r w:rsidRPr="00AC5AED">
              <w:rPr>
                <w:rFonts w:hint="eastAsia"/>
                <w:color w:val="000000"/>
              </w:rPr>
              <w:t>22088073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22连云市政01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58,030,209.07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6.19</w:t>
            </w:r>
          </w:p>
        </w:tc>
      </w:tr>
      <w:tr w:rsidR="00AC5A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5AED" w:rsidRDefault="00AC5AED">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5AED" w:rsidRPr="00AC5AED" w:rsidRDefault="00AC5AED" w:rsidP="00AC5AED">
            <w:pPr>
              <w:pStyle w:val="biaogecenter"/>
              <w:wordWrap w:val="0"/>
              <w:rPr>
                <w:color w:val="000000"/>
              </w:rPr>
            </w:pPr>
            <w:r w:rsidRPr="00AC5AED">
              <w:rPr>
                <w:rFonts w:hint="eastAsia"/>
                <w:color w:val="000000"/>
              </w:rPr>
              <w:t>101800135</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18连云港MTN001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50,612,450.00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5.40</w:t>
            </w:r>
          </w:p>
        </w:tc>
      </w:tr>
      <w:tr w:rsidR="00AC5A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5AED" w:rsidRDefault="00AC5AED">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5AED" w:rsidRPr="00AC5AED" w:rsidRDefault="00AC5AED" w:rsidP="00AC5AED">
            <w:pPr>
              <w:pStyle w:val="biaogecenter"/>
              <w:wordWrap w:val="0"/>
              <w:rPr>
                <w:color w:val="000000"/>
              </w:rPr>
            </w:pPr>
            <w:r w:rsidRPr="00AC5AED">
              <w:rPr>
                <w:rFonts w:hint="eastAsia"/>
                <w:color w:val="000000"/>
              </w:rPr>
              <w:t>162686</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19六新01</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50,000,331.65</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5.33</w:t>
            </w:r>
          </w:p>
        </w:tc>
      </w:tr>
      <w:tr w:rsidR="00AC5A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5AED" w:rsidRDefault="00AC5AED">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5AED" w:rsidRPr="00AC5AED" w:rsidRDefault="00AC5AED" w:rsidP="00AC5AED">
            <w:pPr>
              <w:pStyle w:val="biaogecenter"/>
              <w:wordWrap w:val="0"/>
              <w:rPr>
                <w:color w:val="000000"/>
              </w:rPr>
            </w:pPr>
            <w:r w:rsidRPr="00AC5AED">
              <w:rPr>
                <w:rFonts w:hint="eastAsia"/>
                <w:color w:val="000000"/>
              </w:rPr>
              <w:t>177328</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20如东02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40,000,340.13</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4.27</w:t>
            </w:r>
          </w:p>
        </w:tc>
      </w:tr>
      <w:tr w:rsidR="00AC5A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5AED" w:rsidRDefault="00AC5AED">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5AED" w:rsidRPr="00AC5AED" w:rsidRDefault="00AC5AED" w:rsidP="00AC5AED">
            <w:pPr>
              <w:pStyle w:val="biaogecenter"/>
              <w:wordWrap w:val="0"/>
              <w:rPr>
                <w:color w:val="000000"/>
              </w:rPr>
            </w:pPr>
            <w:r w:rsidRPr="00AC5AED">
              <w:rPr>
                <w:rFonts w:hint="eastAsia"/>
                <w:color w:val="000000"/>
              </w:rPr>
              <w:t>032000589</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20瓯海新城PPN002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37,676,952.00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4.02</w:t>
            </w:r>
          </w:p>
        </w:tc>
      </w:tr>
      <w:tr w:rsidR="00AC5AED">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5AED" w:rsidRDefault="00AC5AED">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5AED" w:rsidRPr="00AC5AED" w:rsidRDefault="00AC5AED" w:rsidP="00AC5AED">
            <w:pPr>
              <w:pStyle w:val="biaogecenter"/>
              <w:wordWrap w:val="0"/>
              <w:rPr>
                <w:color w:val="000000"/>
              </w:rPr>
            </w:pPr>
            <w:r w:rsidRPr="00AC5AED">
              <w:rPr>
                <w:rFonts w:hint="eastAsia"/>
                <w:color w:val="000000"/>
              </w:rPr>
              <w:t>032191173</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21普陀国资PPN002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30,795,540.00</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3.28</w:t>
            </w:r>
          </w:p>
        </w:tc>
      </w:tr>
      <w:tr w:rsidR="00AC5AED">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AC5AED" w:rsidRDefault="00AC5AED">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noWrap/>
            <w:vAlign w:val="center"/>
          </w:tcPr>
          <w:p w:rsidR="00AC5AED" w:rsidRPr="00AC5AED" w:rsidRDefault="00AC5AED" w:rsidP="00AC5AED">
            <w:pPr>
              <w:pStyle w:val="biaogecenter"/>
              <w:wordWrap w:val="0"/>
              <w:rPr>
                <w:color w:val="000000"/>
              </w:rPr>
            </w:pPr>
            <w:r w:rsidRPr="00AC5AED">
              <w:rPr>
                <w:rFonts w:hint="eastAsia"/>
                <w:color w:val="000000"/>
              </w:rPr>
              <w:t>177182</w:t>
            </w:r>
          </w:p>
        </w:tc>
        <w:tc>
          <w:tcPr>
            <w:tcW w:w="2690"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G20安吉2</w:t>
            </w:r>
          </w:p>
        </w:tc>
        <w:tc>
          <w:tcPr>
            <w:tcW w:w="203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29,618,528.87</w:t>
            </w:r>
          </w:p>
        </w:tc>
        <w:tc>
          <w:tcPr>
            <w:tcW w:w="1765" w:type="dxa"/>
            <w:tcBorders>
              <w:top w:val="single" w:sz="8" w:space="0" w:color="000000"/>
              <w:left w:val="nil"/>
              <w:bottom w:val="single" w:sz="8" w:space="0" w:color="000000"/>
              <w:right w:val="single" w:sz="8" w:space="0" w:color="000000"/>
            </w:tcBorders>
            <w:shd w:val="clear" w:color="000000" w:fill="FFFFFF"/>
            <w:noWrap/>
            <w:vAlign w:val="center"/>
          </w:tcPr>
          <w:p w:rsidR="00AC5AED" w:rsidRPr="00AC5AED" w:rsidRDefault="00AC5AED" w:rsidP="00AC5AED">
            <w:pPr>
              <w:pStyle w:val="biaogecenter"/>
              <w:wordWrap w:val="0"/>
              <w:rPr>
                <w:color w:val="000000"/>
              </w:rPr>
            </w:pPr>
            <w:r w:rsidRPr="00AC5AED">
              <w:rPr>
                <w:rFonts w:hint="eastAsia"/>
                <w:color w:val="000000"/>
              </w:rPr>
              <w:t>3.16</w:t>
            </w:r>
          </w:p>
        </w:tc>
      </w:tr>
    </w:tbl>
    <w:p w:rsidR="00B34ED4" w:rsidRDefault="00B34ED4">
      <w:pPr>
        <w:widowControl/>
        <w:jc w:val="left"/>
        <w:rPr>
          <w:rFonts w:ascii="宋体" w:hAnsi="宋体" w:cs="宋体"/>
          <w:b/>
          <w:sz w:val="24"/>
          <w:szCs w:val="24"/>
          <w:shd w:val="clear" w:color="auto" w:fill="FFFFFF"/>
        </w:rPr>
      </w:pPr>
    </w:p>
    <w:p w:rsidR="00B34ED4" w:rsidRDefault="004A6C9D">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4.3报告期末非标准化债权类资产明细</w:t>
      </w:r>
    </w:p>
    <w:p w:rsidR="00B34ED4" w:rsidRDefault="00B34ED4">
      <w:pPr>
        <w:widowControl/>
        <w:jc w:val="left"/>
        <w:rPr>
          <w:b/>
          <w:shd w:val="clear" w:color="auto" w:fill="FFFFFF"/>
        </w:rPr>
      </w:pPr>
    </w:p>
    <w:tbl>
      <w:tblPr>
        <w:tblW w:w="0" w:type="auto"/>
        <w:tblInd w:w="108" w:type="dxa"/>
        <w:tblLayout w:type="fixed"/>
        <w:tblLook w:val="04A0"/>
      </w:tblPr>
      <w:tblGrid>
        <w:gridCol w:w="560"/>
        <w:gridCol w:w="2417"/>
        <w:gridCol w:w="1418"/>
        <w:gridCol w:w="1134"/>
        <w:gridCol w:w="1275"/>
        <w:gridCol w:w="1276"/>
        <w:gridCol w:w="851"/>
      </w:tblGrid>
      <w:tr w:rsidR="00B34ED4" w:rsidTr="00C703CC">
        <w:tc>
          <w:tcPr>
            <w:tcW w:w="560"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Ansi="Calibri" w:hint="eastAsia"/>
                <w:shd w:val="clear" w:color="auto" w:fill="FFFFFF"/>
              </w:rPr>
              <w:t>序号</w:t>
            </w:r>
          </w:p>
        </w:tc>
        <w:tc>
          <w:tcPr>
            <w:tcW w:w="2417"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融资客户</w:t>
            </w:r>
          </w:p>
        </w:tc>
        <w:tc>
          <w:tcPr>
            <w:tcW w:w="1418"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Ansi="Calibri" w:hint="eastAsia"/>
                <w:shd w:val="clear" w:color="auto" w:fill="FFFFFF"/>
              </w:rPr>
              <w:t>项目名称</w:t>
            </w:r>
          </w:p>
        </w:tc>
        <w:tc>
          <w:tcPr>
            <w:tcW w:w="1134"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剩余融资期限</w:t>
            </w:r>
          </w:p>
        </w:tc>
        <w:tc>
          <w:tcPr>
            <w:tcW w:w="1275"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风险状况</w:t>
            </w:r>
          </w:p>
        </w:tc>
      </w:tr>
      <w:tr w:rsidR="00CA5464" w:rsidTr="00C703CC">
        <w:tc>
          <w:tcPr>
            <w:tcW w:w="560" w:type="dxa"/>
            <w:tcBorders>
              <w:top w:val="single" w:sz="8" w:space="0" w:color="000000"/>
              <w:left w:val="single" w:sz="8" w:space="0" w:color="000000"/>
              <w:bottom w:val="single" w:sz="8" w:space="0" w:color="000000"/>
              <w:right w:val="single" w:sz="8" w:space="0" w:color="000000"/>
            </w:tcBorders>
            <w:noWrap/>
            <w:vAlign w:val="center"/>
          </w:tcPr>
          <w:p w:rsidR="00CA5464" w:rsidRDefault="00CA5464">
            <w:pPr>
              <w:pStyle w:val="biaogecenter"/>
              <w:rPr>
                <w:rFonts w:hAnsi="Calibri"/>
                <w:shd w:val="clear" w:color="auto" w:fill="FFFFFF"/>
              </w:rPr>
            </w:pPr>
            <w:r>
              <w:rPr>
                <w:rFonts w:hAnsi="Calibri" w:hint="eastAsia"/>
                <w:shd w:val="clear" w:color="auto" w:fill="FFFFFF"/>
              </w:rPr>
              <w:t>1</w:t>
            </w:r>
          </w:p>
        </w:tc>
        <w:tc>
          <w:tcPr>
            <w:tcW w:w="2417"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盐城市交通投资建设控股集团有限公司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22盐城交通01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116天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w:t>
            </w:r>
          </w:p>
        </w:tc>
      </w:tr>
      <w:tr w:rsidR="00CA5464" w:rsidTr="00C703CC">
        <w:tc>
          <w:tcPr>
            <w:tcW w:w="560" w:type="dxa"/>
            <w:tcBorders>
              <w:top w:val="single" w:sz="8" w:space="0" w:color="000000"/>
              <w:left w:val="single" w:sz="8" w:space="0" w:color="000000"/>
              <w:bottom w:val="single" w:sz="8" w:space="0" w:color="000000"/>
              <w:right w:val="single" w:sz="8" w:space="0" w:color="000000"/>
            </w:tcBorders>
            <w:noWrap/>
            <w:vAlign w:val="center"/>
          </w:tcPr>
          <w:p w:rsidR="00CA5464" w:rsidRDefault="00CA5464">
            <w:pPr>
              <w:pStyle w:val="biaogecenter"/>
              <w:rPr>
                <w:rFonts w:hAnsi="Calibri"/>
                <w:shd w:val="clear" w:color="auto" w:fill="FFFFFF"/>
              </w:rPr>
            </w:pPr>
            <w:r>
              <w:rPr>
                <w:rFonts w:hAnsi="Calibri" w:hint="eastAsia"/>
                <w:shd w:val="clear" w:color="auto" w:fill="FFFFFF"/>
              </w:rPr>
              <w:t>2</w:t>
            </w:r>
          </w:p>
        </w:tc>
        <w:tc>
          <w:tcPr>
            <w:tcW w:w="2417"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靖江市华宇投资建设有限公司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22华宇投资01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112天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w:t>
            </w:r>
          </w:p>
        </w:tc>
      </w:tr>
      <w:tr w:rsidR="00CA5464" w:rsidTr="00C703CC">
        <w:tc>
          <w:tcPr>
            <w:tcW w:w="560" w:type="dxa"/>
            <w:tcBorders>
              <w:top w:val="single" w:sz="8" w:space="0" w:color="000000"/>
              <w:left w:val="single" w:sz="8" w:space="0" w:color="000000"/>
              <w:bottom w:val="single" w:sz="8" w:space="0" w:color="000000"/>
              <w:right w:val="single" w:sz="8" w:space="0" w:color="000000"/>
            </w:tcBorders>
            <w:noWrap/>
            <w:vAlign w:val="center"/>
          </w:tcPr>
          <w:p w:rsidR="00CA5464" w:rsidRDefault="00CA5464">
            <w:pPr>
              <w:pStyle w:val="biaogecenter"/>
              <w:rPr>
                <w:rFonts w:hAnsi="Calibri"/>
                <w:shd w:val="clear" w:color="auto" w:fill="FFFFFF"/>
              </w:rPr>
            </w:pPr>
            <w:r>
              <w:rPr>
                <w:rFonts w:hAnsi="Calibri" w:hint="eastAsia"/>
                <w:shd w:val="clear" w:color="auto" w:fill="FFFFFF"/>
              </w:rPr>
              <w:t>3</w:t>
            </w:r>
          </w:p>
        </w:tc>
        <w:tc>
          <w:tcPr>
            <w:tcW w:w="2417"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淮安新城投资开发有限公司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22淮安新城01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106天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w:t>
            </w:r>
          </w:p>
        </w:tc>
      </w:tr>
      <w:tr w:rsidR="00CA5464" w:rsidTr="00C703CC">
        <w:tc>
          <w:tcPr>
            <w:tcW w:w="560" w:type="dxa"/>
            <w:tcBorders>
              <w:top w:val="single" w:sz="8" w:space="0" w:color="000000"/>
              <w:left w:val="single" w:sz="8" w:space="0" w:color="000000"/>
              <w:bottom w:val="single" w:sz="8" w:space="0" w:color="000000"/>
              <w:right w:val="single" w:sz="8" w:space="0" w:color="000000"/>
            </w:tcBorders>
            <w:noWrap/>
            <w:vAlign w:val="center"/>
          </w:tcPr>
          <w:p w:rsidR="00CA5464" w:rsidRDefault="00CA5464" w:rsidP="007B4B85">
            <w:pPr>
              <w:pStyle w:val="biaogecenter"/>
              <w:rPr>
                <w:rFonts w:hAnsi="Calibri"/>
                <w:shd w:val="clear" w:color="auto" w:fill="FFFFFF"/>
              </w:rPr>
            </w:pPr>
            <w:r>
              <w:rPr>
                <w:rFonts w:hAnsi="Calibri" w:hint="eastAsia"/>
                <w:shd w:val="clear" w:color="auto" w:fill="FFFFFF"/>
              </w:rPr>
              <w:t>4</w:t>
            </w:r>
          </w:p>
        </w:tc>
        <w:tc>
          <w:tcPr>
            <w:tcW w:w="2417"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南京江宁经济技术开发集团有限公司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22江宁经开01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106天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w:t>
            </w:r>
          </w:p>
        </w:tc>
      </w:tr>
      <w:tr w:rsidR="00CA5464" w:rsidTr="00C703CC">
        <w:tc>
          <w:tcPr>
            <w:tcW w:w="560" w:type="dxa"/>
            <w:tcBorders>
              <w:top w:val="single" w:sz="8" w:space="0" w:color="000000"/>
              <w:left w:val="single" w:sz="8" w:space="0" w:color="000000"/>
              <w:bottom w:val="single" w:sz="8" w:space="0" w:color="000000"/>
              <w:right w:val="single" w:sz="8" w:space="0" w:color="000000"/>
            </w:tcBorders>
            <w:noWrap/>
            <w:vAlign w:val="center"/>
          </w:tcPr>
          <w:p w:rsidR="00CA5464" w:rsidRDefault="00CA5464" w:rsidP="007B4B85">
            <w:pPr>
              <w:pStyle w:val="biaogecenter"/>
              <w:rPr>
                <w:rFonts w:hAnsi="Calibri"/>
                <w:shd w:val="clear" w:color="auto" w:fill="FFFFFF"/>
              </w:rPr>
            </w:pPr>
            <w:r>
              <w:rPr>
                <w:rFonts w:hAnsi="Calibri" w:hint="eastAsia"/>
                <w:shd w:val="clear" w:color="auto" w:fill="FFFFFF"/>
              </w:rPr>
              <w:t>5</w:t>
            </w:r>
          </w:p>
        </w:tc>
        <w:tc>
          <w:tcPr>
            <w:tcW w:w="2417"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连云港市市政公用有限公司</w:t>
            </w:r>
          </w:p>
        </w:tc>
        <w:tc>
          <w:tcPr>
            <w:tcW w:w="1418"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22连云市政01</w:t>
            </w:r>
          </w:p>
        </w:tc>
        <w:tc>
          <w:tcPr>
            <w:tcW w:w="1134"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117天</w:t>
            </w:r>
          </w:p>
        </w:tc>
        <w:tc>
          <w:tcPr>
            <w:tcW w:w="1275"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利随本清</w:t>
            </w:r>
          </w:p>
        </w:tc>
        <w:tc>
          <w:tcPr>
            <w:tcW w:w="1276"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理财直接融资工具</w:t>
            </w:r>
          </w:p>
        </w:tc>
        <w:tc>
          <w:tcPr>
            <w:tcW w:w="851" w:type="dxa"/>
            <w:tcBorders>
              <w:top w:val="single" w:sz="8" w:space="0" w:color="000000"/>
              <w:left w:val="single" w:sz="8" w:space="0" w:color="000000"/>
              <w:bottom w:val="single" w:sz="8" w:space="0" w:color="000000"/>
              <w:right w:val="single" w:sz="8" w:space="0" w:color="000000"/>
            </w:tcBorders>
            <w:noWrap/>
            <w:vAlign w:val="center"/>
          </w:tcPr>
          <w:p w:rsidR="00CA5464" w:rsidRPr="00CA5464" w:rsidRDefault="00CA5464" w:rsidP="00CA5464">
            <w:pPr>
              <w:pStyle w:val="biaogecenter"/>
              <w:wordWrap w:val="0"/>
              <w:rPr>
                <w:shd w:val="clear" w:color="auto" w:fill="FFFFFF"/>
              </w:rPr>
            </w:pPr>
            <w:r w:rsidRPr="00CA5464">
              <w:rPr>
                <w:rFonts w:hint="eastAsia"/>
                <w:shd w:val="clear" w:color="auto" w:fill="FFFFFF"/>
              </w:rPr>
              <w:t>-</w:t>
            </w:r>
          </w:p>
        </w:tc>
      </w:tr>
    </w:tbl>
    <w:p w:rsidR="00B34ED4" w:rsidRDefault="00B34ED4">
      <w:pPr>
        <w:widowControl/>
        <w:jc w:val="left"/>
        <w:rPr>
          <w:rFonts w:ascii="宋体" w:hAnsi="宋体" w:cs="宋体"/>
          <w:color w:val="000000"/>
          <w:kern w:val="0"/>
          <w:sz w:val="24"/>
          <w:szCs w:val="24"/>
        </w:rPr>
      </w:pPr>
    </w:p>
    <w:p w:rsidR="00B34ED4" w:rsidRDefault="004A6C9D">
      <w:pPr>
        <w:pStyle w:val="dazhangjie"/>
        <w:rPr>
          <w:b/>
          <w:bCs/>
          <w:color w:val="000000"/>
        </w:rPr>
      </w:pPr>
      <w:r>
        <w:rPr>
          <w:rFonts w:hint="eastAsia"/>
          <w:b/>
          <w:bCs/>
          <w:color w:val="000000"/>
        </w:rPr>
        <w:t>§5 投资账户信息</w:t>
      </w:r>
    </w:p>
    <w:tbl>
      <w:tblPr>
        <w:tblW w:w="4939" w:type="pct"/>
        <w:tblInd w:w="109" w:type="dxa"/>
        <w:tblLook w:val="04A0"/>
      </w:tblPr>
      <w:tblGrid>
        <w:gridCol w:w="712"/>
        <w:gridCol w:w="1316"/>
        <w:gridCol w:w="2388"/>
        <w:gridCol w:w="3460"/>
        <w:gridCol w:w="1316"/>
      </w:tblGrid>
      <w:tr w:rsidR="00B34ED4" w:rsidTr="00C37955">
        <w:trPr>
          <w:trHeight w:val="705"/>
        </w:trPr>
        <w:tc>
          <w:tcPr>
            <w:tcW w:w="387" w:type="pct"/>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rPr>
                <w:shd w:val="clear" w:color="auto" w:fill="FFFFFF"/>
              </w:rPr>
            </w:pPr>
            <w:r>
              <w:rPr>
                <w:rFonts w:hAnsi="Calibri" w:hint="eastAsia"/>
                <w:shd w:val="clear" w:color="auto" w:fill="FFFFFF"/>
              </w:rPr>
              <w:lastRenderedPageBreak/>
              <w:t>序号</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账户类型</w:t>
            </w:r>
          </w:p>
        </w:tc>
        <w:tc>
          <w:tcPr>
            <w:tcW w:w="1299" w:type="pct"/>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Ansi="Calibri" w:hint="eastAsia"/>
                <w:shd w:val="clear" w:color="auto" w:fill="FFFFFF"/>
              </w:rPr>
              <w:t>账号</w:t>
            </w:r>
          </w:p>
        </w:tc>
        <w:tc>
          <w:tcPr>
            <w:tcW w:w="1882" w:type="pct"/>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账户名称</w:t>
            </w:r>
          </w:p>
        </w:tc>
        <w:tc>
          <w:tcPr>
            <w:tcW w:w="716" w:type="pct"/>
            <w:tcBorders>
              <w:top w:val="single" w:sz="8" w:space="0" w:color="000000"/>
              <w:left w:val="single" w:sz="8" w:space="0" w:color="000000"/>
              <w:bottom w:val="single" w:sz="6" w:space="0" w:color="000000"/>
              <w:right w:val="single" w:sz="8" w:space="0" w:color="000000"/>
            </w:tcBorders>
            <w:noWrap/>
            <w:vAlign w:val="center"/>
          </w:tcPr>
          <w:p w:rsidR="00B34ED4" w:rsidRDefault="004A6C9D">
            <w:pPr>
              <w:pStyle w:val="biaogecenter"/>
              <w:wordWrap w:val="0"/>
              <w:rPr>
                <w:shd w:val="clear" w:color="auto" w:fill="FFFFFF"/>
              </w:rPr>
            </w:pPr>
            <w:r>
              <w:rPr>
                <w:rFonts w:hint="eastAsia"/>
                <w:shd w:val="clear" w:color="auto" w:fill="FFFFFF"/>
              </w:rPr>
              <w:t>开户单位</w:t>
            </w:r>
          </w:p>
        </w:tc>
      </w:tr>
      <w:tr w:rsidR="00B34ED4" w:rsidTr="00C37955">
        <w:trPr>
          <w:trHeight w:val="364"/>
        </w:trPr>
        <w:tc>
          <w:tcPr>
            <w:tcW w:w="387" w:type="pct"/>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wordWrap w:val="0"/>
              <w:rPr>
                <w:shd w:val="clear" w:color="auto" w:fill="FFFFFF"/>
              </w:rPr>
            </w:pPr>
            <w:r>
              <w:rPr>
                <w:rFonts w:hAnsi="Calibri" w:hint="eastAsia"/>
                <w:shd w:val="clear" w:color="auto" w:fill="FFFFFF"/>
              </w:rPr>
              <w:t>1</w:t>
            </w:r>
          </w:p>
        </w:tc>
        <w:tc>
          <w:tcPr>
            <w:tcW w:w="716" w:type="pct"/>
            <w:tcBorders>
              <w:top w:val="single" w:sz="8" w:space="0" w:color="000000"/>
              <w:left w:val="single" w:sz="8" w:space="0" w:color="000000"/>
              <w:bottom w:val="single" w:sz="8" w:space="0" w:color="000000"/>
              <w:right w:val="single" w:sz="8" w:space="0" w:color="000000"/>
            </w:tcBorders>
            <w:noWrap/>
            <w:vAlign w:val="bottom"/>
          </w:tcPr>
          <w:p w:rsidR="00B34ED4" w:rsidRDefault="004A6C9D">
            <w:pPr>
              <w:pStyle w:val="biaogecenter"/>
              <w:wordWrap w:val="0"/>
              <w:rPr>
                <w:shd w:val="clear" w:color="auto" w:fill="FFFFFF"/>
              </w:rPr>
            </w:pPr>
            <w:r>
              <w:rPr>
                <w:shd w:val="clear" w:color="auto" w:fill="FFFFFF"/>
              </w:rPr>
              <w:t>托管账户</w:t>
            </w:r>
          </w:p>
        </w:tc>
        <w:tc>
          <w:tcPr>
            <w:tcW w:w="1299" w:type="pct"/>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wordWrap w:val="0"/>
              <w:rPr>
                <w:shd w:val="clear" w:color="auto" w:fill="FFFFFF"/>
              </w:rPr>
            </w:pPr>
            <w:r>
              <w:rPr>
                <w:shd w:val="clear" w:color="auto" w:fill="FFFFFF"/>
              </w:rPr>
              <w:t>0120030000000341</w:t>
            </w:r>
          </w:p>
        </w:tc>
        <w:tc>
          <w:tcPr>
            <w:tcW w:w="1882" w:type="pct"/>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wordWrap w:val="0"/>
              <w:rPr>
                <w:shd w:val="clear" w:color="auto" w:fill="FFFFFF"/>
              </w:rPr>
            </w:pPr>
            <w:r>
              <w:rPr>
                <w:shd w:val="clear" w:color="auto" w:fill="FFFFFF"/>
              </w:rPr>
              <w:t>南京银行安稳2001一年定开</w:t>
            </w:r>
          </w:p>
        </w:tc>
        <w:tc>
          <w:tcPr>
            <w:tcW w:w="716" w:type="pct"/>
            <w:tcBorders>
              <w:top w:val="single" w:sz="8" w:space="0" w:color="000000"/>
              <w:left w:val="single" w:sz="8" w:space="0" w:color="000000"/>
              <w:bottom w:val="single" w:sz="8" w:space="0" w:color="000000"/>
              <w:right w:val="single" w:sz="8" w:space="0" w:color="000000"/>
            </w:tcBorders>
            <w:noWrap/>
            <w:vAlign w:val="center"/>
          </w:tcPr>
          <w:p w:rsidR="00B34ED4" w:rsidRDefault="004A6C9D">
            <w:pPr>
              <w:pStyle w:val="biaogecenter"/>
              <w:wordWrap w:val="0"/>
              <w:rPr>
                <w:shd w:val="clear" w:color="auto" w:fill="FFFFFF"/>
              </w:rPr>
            </w:pPr>
            <w:r>
              <w:rPr>
                <w:shd w:val="clear" w:color="auto" w:fill="FFFFFF"/>
              </w:rPr>
              <w:t>南京银行</w:t>
            </w:r>
          </w:p>
        </w:tc>
      </w:tr>
    </w:tbl>
    <w:p w:rsidR="00C37955" w:rsidRDefault="00C37955" w:rsidP="00C37955">
      <w:pPr>
        <w:pStyle w:val="dazhangjie"/>
        <w:rPr>
          <w:b/>
          <w:bCs/>
          <w:color w:val="000000"/>
        </w:rPr>
      </w:pPr>
    </w:p>
    <w:p w:rsidR="00E45AAF" w:rsidRDefault="00E45AAF" w:rsidP="00E45AAF">
      <w:pPr>
        <w:pStyle w:val="a6"/>
        <w:jc w:val="center"/>
        <w:rPr>
          <w:b/>
          <w:bCs/>
          <w:color w:val="000000"/>
        </w:rPr>
      </w:pPr>
      <w:r>
        <w:rPr>
          <w:rFonts w:hAnsi="Calibri" w:hint="eastAsia"/>
          <w:b/>
          <w:color w:val="000000"/>
        </w:rPr>
        <w:t>§</w:t>
      </w:r>
      <w:r>
        <w:rPr>
          <w:rFonts w:hAnsi="Calibri"/>
          <w:b/>
          <w:color w:val="000000"/>
        </w:rPr>
        <w:t xml:space="preserve">6  </w:t>
      </w:r>
      <w:r>
        <w:rPr>
          <w:rFonts w:hint="eastAsia"/>
          <w:b/>
          <w:bCs/>
          <w:color w:val="000000"/>
        </w:rPr>
        <w:t>关联交易情况</w:t>
      </w:r>
    </w:p>
    <w:p w:rsidR="00E45AAF" w:rsidRDefault="00E45AAF" w:rsidP="00E45AA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报告期内，产品投资于关联方发行的证券、关联方作为融资人的非标准化债权类资产业务交易金额</w:t>
      </w:r>
      <w:r>
        <w:rPr>
          <w:rFonts w:ascii="宋体"/>
          <w:sz w:val="24"/>
        </w:rPr>
        <w:t>0.00</w:t>
      </w:r>
      <w:r>
        <w:rPr>
          <w:rFonts w:ascii="宋体" w:hAnsi="宋体" w:hint="eastAsia"/>
          <w:sz w:val="24"/>
        </w:rPr>
        <w:t>元。</w:t>
      </w:r>
    </w:p>
    <w:p w:rsidR="00E45AAF" w:rsidRDefault="00E45AAF" w:rsidP="00E45AA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产品投资于关联方承销的证券交易金额</w:t>
      </w:r>
      <w:r>
        <w:rPr>
          <w:rFonts w:ascii="宋体" w:hAnsi="宋体"/>
          <w:sz w:val="24"/>
        </w:rPr>
        <w:t>10,000,895.89</w:t>
      </w:r>
      <w:r>
        <w:rPr>
          <w:rFonts w:ascii="宋体" w:hAnsi="宋体" w:hint="eastAsia"/>
          <w:sz w:val="24"/>
        </w:rPr>
        <w:t>元。</w:t>
      </w:r>
    </w:p>
    <w:p w:rsidR="00E45AAF" w:rsidRDefault="00E45AAF" w:rsidP="00E45AA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产品与关联方作为交易对手开展的投融资业务交易金额</w:t>
      </w:r>
      <w:r>
        <w:rPr>
          <w:rFonts w:ascii="宋体"/>
          <w:sz w:val="24"/>
        </w:rPr>
        <w:t>0.00</w:t>
      </w:r>
      <w:r>
        <w:rPr>
          <w:rFonts w:ascii="宋体" w:hAnsi="宋体" w:hint="eastAsia"/>
          <w:sz w:val="24"/>
        </w:rPr>
        <w:t>元。</w:t>
      </w:r>
    </w:p>
    <w:p w:rsidR="00E45AAF" w:rsidRDefault="00E45AAF" w:rsidP="00E45AA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产品投资关联方作为管理人的资产管理产品交易金额</w:t>
      </w:r>
      <w:r>
        <w:rPr>
          <w:rFonts w:ascii="宋体"/>
          <w:sz w:val="24"/>
        </w:rPr>
        <w:t>0.00</w:t>
      </w:r>
      <w:r>
        <w:rPr>
          <w:rFonts w:ascii="宋体" w:hAnsi="宋体" w:hint="eastAsia"/>
          <w:sz w:val="24"/>
        </w:rPr>
        <w:t>元。</w:t>
      </w:r>
    </w:p>
    <w:p w:rsidR="00E45AAF" w:rsidRDefault="00E45AAF" w:rsidP="00E45AA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w:t>
      </w:r>
      <w:r w:rsidR="003A733F">
        <w:rPr>
          <w:rFonts w:ascii="宋体" w:hAnsi="宋体" w:hint="eastAsia"/>
          <w:sz w:val="24"/>
        </w:rPr>
        <w:t>应</w:t>
      </w:r>
      <w:r>
        <w:rPr>
          <w:rFonts w:ascii="宋体" w:hAnsi="宋体" w:hint="eastAsia"/>
          <w:sz w:val="24"/>
        </w:rPr>
        <w:t>支付关联方托管费</w:t>
      </w:r>
      <w:r>
        <w:rPr>
          <w:rFonts w:ascii="宋体" w:hAnsi="宋体"/>
          <w:sz w:val="24"/>
        </w:rPr>
        <w:t>45,625.56</w:t>
      </w:r>
      <w:r>
        <w:rPr>
          <w:rFonts w:ascii="宋体" w:hAnsi="宋体" w:hint="eastAsia"/>
          <w:sz w:val="24"/>
        </w:rPr>
        <w:t>元，</w:t>
      </w:r>
      <w:r w:rsidR="003A733F">
        <w:rPr>
          <w:rFonts w:ascii="宋体" w:hAnsi="宋体" w:hint="eastAsia"/>
          <w:sz w:val="24"/>
        </w:rPr>
        <w:t>应</w:t>
      </w:r>
      <w:r>
        <w:rPr>
          <w:rFonts w:ascii="宋体" w:hAnsi="宋体" w:hint="eastAsia"/>
          <w:sz w:val="24"/>
        </w:rPr>
        <w:t>支付关联方代销费</w:t>
      </w:r>
      <w:r>
        <w:rPr>
          <w:rFonts w:ascii="宋体" w:hAnsi="宋体"/>
          <w:sz w:val="24"/>
        </w:rPr>
        <w:t>436,035.84</w:t>
      </w:r>
      <w:r>
        <w:rPr>
          <w:rFonts w:ascii="宋体" w:hAnsi="宋体" w:hint="eastAsia"/>
          <w:sz w:val="24"/>
        </w:rPr>
        <w:t>元。</w:t>
      </w:r>
    </w:p>
    <w:p w:rsidR="00E45AAF" w:rsidRDefault="00E45AAF" w:rsidP="00E45AA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hint="eastAsia"/>
          <w:sz w:val="24"/>
        </w:rPr>
        <w:t>产品发生其他关联交易金额</w:t>
      </w:r>
      <w:r>
        <w:rPr>
          <w:rFonts w:ascii="宋体"/>
          <w:sz w:val="24"/>
        </w:rPr>
        <w:t>0.00</w:t>
      </w:r>
      <w:r>
        <w:rPr>
          <w:rFonts w:ascii="宋体" w:hAnsi="宋体" w:hint="eastAsia"/>
          <w:sz w:val="24"/>
        </w:rPr>
        <w:t>元。</w:t>
      </w:r>
    </w:p>
    <w:p w:rsidR="00E45AAF" w:rsidRDefault="00E45AAF" w:rsidP="00E45AAF">
      <w:pPr>
        <w:widowControl/>
        <w:shd w:val="clear" w:color="auto" w:fill="FFFFFF"/>
        <w:spacing w:before="100" w:beforeAutospacing="1" w:after="100" w:afterAutospacing="1" w:line="390" w:lineRule="atLeast"/>
        <w:ind w:firstLineChars="200" w:firstLine="480"/>
        <w:jc w:val="left"/>
        <w:rPr>
          <w:rFonts w:ascii="宋体" w:cs="宋体"/>
          <w:color w:val="000000"/>
          <w:kern w:val="0"/>
          <w:sz w:val="24"/>
          <w:szCs w:val="24"/>
        </w:rPr>
      </w:pPr>
      <w:r>
        <w:rPr>
          <w:rFonts w:ascii="宋体" w:hAnsi="宋体" w:cs="宋体" w:hint="eastAsia"/>
          <w:color w:val="000000"/>
          <w:kern w:val="0"/>
          <w:sz w:val="24"/>
          <w:szCs w:val="24"/>
        </w:rPr>
        <w:t>报告期内，产品未发生重大关联交易。</w:t>
      </w:r>
    </w:p>
    <w:p w:rsidR="00C37955" w:rsidRPr="00E45AAF" w:rsidRDefault="00C37955" w:rsidP="00C37955">
      <w:pPr>
        <w:pStyle w:val="dazhangjie"/>
        <w:jc w:val="left"/>
        <w:rPr>
          <w:b/>
          <w:bCs/>
          <w:color w:val="000000"/>
        </w:rPr>
      </w:pPr>
    </w:p>
    <w:p w:rsidR="00C37955" w:rsidRDefault="00C37955" w:rsidP="00C37955">
      <w:pPr>
        <w:pStyle w:val="dazhangjie"/>
        <w:jc w:val="left"/>
        <w:rPr>
          <w:b/>
          <w:bCs/>
          <w:color w:val="000000"/>
        </w:rPr>
      </w:pPr>
    </w:p>
    <w:p w:rsidR="00B34ED4" w:rsidRDefault="00B34ED4">
      <w:pPr>
        <w:pStyle w:val="dazhangjie"/>
        <w:rPr>
          <w:b/>
          <w:bCs/>
          <w:color w:val="000000"/>
        </w:rPr>
      </w:pPr>
    </w:p>
    <w:p w:rsidR="00B34ED4" w:rsidRDefault="004A6C9D">
      <w:pPr>
        <w:pStyle w:val="biaogeright"/>
        <w:rPr>
          <w:rFonts w:hAnsi="Calibri"/>
          <w:b/>
          <w:bCs/>
          <w:color w:val="000000"/>
        </w:rPr>
      </w:pPr>
      <w:r>
        <w:rPr>
          <w:rFonts w:hAnsi="Calibri" w:hint="eastAsia"/>
          <w:b/>
          <w:bCs/>
          <w:color w:val="000000"/>
        </w:rPr>
        <w:t>南银理财有限责任公司</w:t>
      </w:r>
    </w:p>
    <w:p w:rsidR="00B34ED4" w:rsidRDefault="00B47A36" w:rsidP="00B47A36">
      <w:pPr>
        <w:pStyle w:val="biaogeright"/>
        <w:rPr>
          <w:rFonts w:hAnsi="Calibri"/>
          <w:b/>
          <w:bCs/>
          <w:color w:val="000000"/>
        </w:rPr>
      </w:pPr>
      <w:r>
        <w:rPr>
          <w:rFonts w:hAnsi="Calibri" w:hint="eastAsia"/>
          <w:b/>
          <w:bCs/>
          <w:color w:val="000000"/>
        </w:rPr>
        <w:t>2022年9月30日</w:t>
      </w:r>
    </w:p>
    <w:sectPr w:rsidR="00B34ED4" w:rsidSect="00B34ED4">
      <w:footerReference w:type="even" r:id="rId7"/>
      <w:footerReference w:type="default" r:id="rId8"/>
      <w:headerReference w:type="first" r:id="rId9"/>
      <w:type w:val="continuous"/>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4931" w:rsidRDefault="00234931" w:rsidP="00B34ED4">
      <w:r>
        <w:separator/>
      </w:r>
    </w:p>
  </w:endnote>
  <w:endnote w:type="continuationSeparator" w:id="1">
    <w:p w:rsidR="00234931" w:rsidRDefault="00234931" w:rsidP="00B34E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ED4" w:rsidRDefault="00EE79C3">
    <w:pPr>
      <w:pStyle w:val="a4"/>
      <w:framePr w:wrap="around" w:vAnchor="text" w:hAnchor="margin" w:xAlign="center" w:y="1"/>
      <w:rPr>
        <w:rStyle w:val="a8"/>
      </w:rPr>
    </w:pPr>
    <w:r>
      <w:fldChar w:fldCharType="begin"/>
    </w:r>
    <w:r w:rsidR="004A6C9D">
      <w:rPr>
        <w:rStyle w:val="a8"/>
      </w:rPr>
      <w:instrText xml:space="preserve">PAGE  </w:instrText>
    </w:r>
    <w:r>
      <w:fldChar w:fldCharType="end"/>
    </w:r>
  </w:p>
  <w:p w:rsidR="00B34ED4" w:rsidRDefault="00B34ED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ED4" w:rsidRDefault="00B34ED4">
    <w:pPr>
      <w:pStyle w:val="a4"/>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4931" w:rsidRDefault="00234931" w:rsidP="00B34ED4">
      <w:r>
        <w:separator/>
      </w:r>
    </w:p>
  </w:footnote>
  <w:footnote w:type="continuationSeparator" w:id="1">
    <w:p w:rsidR="00234931" w:rsidRDefault="00234931" w:rsidP="00B34E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ED4" w:rsidRDefault="004A6C9D">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720"/>
  <w:noPunctuationKerning/>
  <w:characterSpacingControl w:val="compressPunctuation"/>
  <w:hdrShapeDefaults>
    <o:shapedefaults v:ext="edit" spidmax="16386"/>
  </w:hdrShapeDefaults>
  <w:footnotePr>
    <w:footnote w:id="0"/>
    <w:footnote w:id="1"/>
  </w:footnotePr>
  <w:endnotePr>
    <w:endnote w:id="0"/>
    <w:endnote w:id="1"/>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344C2C16"/>
    <w:rsid w:val="000060E5"/>
    <w:rsid w:val="000102DF"/>
    <w:rsid w:val="0001051E"/>
    <w:rsid w:val="000119D3"/>
    <w:rsid w:val="00020D37"/>
    <w:rsid w:val="00030F14"/>
    <w:rsid w:val="00031AE6"/>
    <w:rsid w:val="00034FF6"/>
    <w:rsid w:val="00035FA3"/>
    <w:rsid w:val="00044BFF"/>
    <w:rsid w:val="00054740"/>
    <w:rsid w:val="0005474A"/>
    <w:rsid w:val="000606B8"/>
    <w:rsid w:val="00060FE1"/>
    <w:rsid w:val="00061725"/>
    <w:rsid w:val="000676B2"/>
    <w:rsid w:val="00067886"/>
    <w:rsid w:val="000872A7"/>
    <w:rsid w:val="00090CF4"/>
    <w:rsid w:val="00093286"/>
    <w:rsid w:val="00095744"/>
    <w:rsid w:val="000A07E0"/>
    <w:rsid w:val="000B2357"/>
    <w:rsid w:val="000B285B"/>
    <w:rsid w:val="000C17E3"/>
    <w:rsid w:val="000C44EE"/>
    <w:rsid w:val="000D5066"/>
    <w:rsid w:val="000D5F8E"/>
    <w:rsid w:val="000E2A58"/>
    <w:rsid w:val="000F6191"/>
    <w:rsid w:val="000F6CC0"/>
    <w:rsid w:val="0010610C"/>
    <w:rsid w:val="00110E09"/>
    <w:rsid w:val="00130CE8"/>
    <w:rsid w:val="00140AA8"/>
    <w:rsid w:val="00145A17"/>
    <w:rsid w:val="00152201"/>
    <w:rsid w:val="0016590B"/>
    <w:rsid w:val="00172599"/>
    <w:rsid w:val="00176636"/>
    <w:rsid w:val="001835D4"/>
    <w:rsid w:val="00183C84"/>
    <w:rsid w:val="001A0B70"/>
    <w:rsid w:val="001A339C"/>
    <w:rsid w:val="001B0289"/>
    <w:rsid w:val="001B0A71"/>
    <w:rsid w:val="001C05F9"/>
    <w:rsid w:val="001C5395"/>
    <w:rsid w:val="001D5A30"/>
    <w:rsid w:val="001D72A9"/>
    <w:rsid w:val="001F4650"/>
    <w:rsid w:val="001F5321"/>
    <w:rsid w:val="0020764A"/>
    <w:rsid w:val="002114A7"/>
    <w:rsid w:val="00211F26"/>
    <w:rsid w:val="002263FC"/>
    <w:rsid w:val="00231AC2"/>
    <w:rsid w:val="00234931"/>
    <w:rsid w:val="0023550F"/>
    <w:rsid w:val="00235B1A"/>
    <w:rsid w:val="0024254D"/>
    <w:rsid w:val="00251657"/>
    <w:rsid w:val="0026513C"/>
    <w:rsid w:val="00271655"/>
    <w:rsid w:val="002813D0"/>
    <w:rsid w:val="002900B6"/>
    <w:rsid w:val="00290D0E"/>
    <w:rsid w:val="002A01E0"/>
    <w:rsid w:val="002A3AE9"/>
    <w:rsid w:val="002B2C71"/>
    <w:rsid w:val="002B36BD"/>
    <w:rsid w:val="002C196E"/>
    <w:rsid w:val="002D75D0"/>
    <w:rsid w:val="002E1B49"/>
    <w:rsid w:val="002E48C5"/>
    <w:rsid w:val="002E795C"/>
    <w:rsid w:val="002F3AEA"/>
    <w:rsid w:val="002F3C76"/>
    <w:rsid w:val="0030002B"/>
    <w:rsid w:val="00300434"/>
    <w:rsid w:val="0030118D"/>
    <w:rsid w:val="0030321B"/>
    <w:rsid w:val="00306D71"/>
    <w:rsid w:val="00321CB7"/>
    <w:rsid w:val="00336DF9"/>
    <w:rsid w:val="003379A9"/>
    <w:rsid w:val="00347110"/>
    <w:rsid w:val="00350ADF"/>
    <w:rsid w:val="00355623"/>
    <w:rsid w:val="003577B4"/>
    <w:rsid w:val="00357A1E"/>
    <w:rsid w:val="00363F78"/>
    <w:rsid w:val="00373526"/>
    <w:rsid w:val="003754CA"/>
    <w:rsid w:val="0037592E"/>
    <w:rsid w:val="00383547"/>
    <w:rsid w:val="00383FA3"/>
    <w:rsid w:val="003867E5"/>
    <w:rsid w:val="00391289"/>
    <w:rsid w:val="003A0419"/>
    <w:rsid w:val="003A733F"/>
    <w:rsid w:val="003B5524"/>
    <w:rsid w:val="003B73EB"/>
    <w:rsid w:val="003C2E6D"/>
    <w:rsid w:val="003D3880"/>
    <w:rsid w:val="003E09EA"/>
    <w:rsid w:val="003F0AC3"/>
    <w:rsid w:val="004035EA"/>
    <w:rsid w:val="004135D0"/>
    <w:rsid w:val="00414405"/>
    <w:rsid w:val="0042015A"/>
    <w:rsid w:val="00426B51"/>
    <w:rsid w:val="00441482"/>
    <w:rsid w:val="004432ED"/>
    <w:rsid w:val="004463CB"/>
    <w:rsid w:val="00454431"/>
    <w:rsid w:val="00456251"/>
    <w:rsid w:val="00456C49"/>
    <w:rsid w:val="00463FDC"/>
    <w:rsid w:val="00466076"/>
    <w:rsid w:val="00487993"/>
    <w:rsid w:val="00487AA2"/>
    <w:rsid w:val="004A6C9D"/>
    <w:rsid w:val="004C1607"/>
    <w:rsid w:val="004E0C32"/>
    <w:rsid w:val="004E2681"/>
    <w:rsid w:val="004E66A0"/>
    <w:rsid w:val="005069D8"/>
    <w:rsid w:val="0054267A"/>
    <w:rsid w:val="00545F71"/>
    <w:rsid w:val="0054650A"/>
    <w:rsid w:val="00551558"/>
    <w:rsid w:val="00561127"/>
    <w:rsid w:val="0056162E"/>
    <w:rsid w:val="00566FA1"/>
    <w:rsid w:val="00567DB3"/>
    <w:rsid w:val="00586A85"/>
    <w:rsid w:val="005B3434"/>
    <w:rsid w:val="005C6CB2"/>
    <w:rsid w:val="005D5B56"/>
    <w:rsid w:val="005E61B3"/>
    <w:rsid w:val="005E775A"/>
    <w:rsid w:val="005F2C7B"/>
    <w:rsid w:val="005F4D04"/>
    <w:rsid w:val="006054F8"/>
    <w:rsid w:val="0060567D"/>
    <w:rsid w:val="0061061C"/>
    <w:rsid w:val="0062696F"/>
    <w:rsid w:val="00633BC8"/>
    <w:rsid w:val="00644987"/>
    <w:rsid w:val="0065419A"/>
    <w:rsid w:val="00654220"/>
    <w:rsid w:val="00663B94"/>
    <w:rsid w:val="00677F66"/>
    <w:rsid w:val="00684926"/>
    <w:rsid w:val="006B7A7C"/>
    <w:rsid w:val="006C3B02"/>
    <w:rsid w:val="006D2006"/>
    <w:rsid w:val="006D4071"/>
    <w:rsid w:val="006E0D41"/>
    <w:rsid w:val="006E4E94"/>
    <w:rsid w:val="006F7C4D"/>
    <w:rsid w:val="0070639E"/>
    <w:rsid w:val="007113CF"/>
    <w:rsid w:val="00714758"/>
    <w:rsid w:val="00730BEE"/>
    <w:rsid w:val="0073101E"/>
    <w:rsid w:val="00735153"/>
    <w:rsid w:val="00741092"/>
    <w:rsid w:val="00745421"/>
    <w:rsid w:val="00746812"/>
    <w:rsid w:val="00766DD5"/>
    <w:rsid w:val="00772DBE"/>
    <w:rsid w:val="007A4219"/>
    <w:rsid w:val="007A6DDB"/>
    <w:rsid w:val="007A7F22"/>
    <w:rsid w:val="007B7E4F"/>
    <w:rsid w:val="007C422D"/>
    <w:rsid w:val="007C4534"/>
    <w:rsid w:val="007C4D87"/>
    <w:rsid w:val="007D0048"/>
    <w:rsid w:val="007E2E92"/>
    <w:rsid w:val="007E40DE"/>
    <w:rsid w:val="007F5739"/>
    <w:rsid w:val="0080200C"/>
    <w:rsid w:val="008036C2"/>
    <w:rsid w:val="00814110"/>
    <w:rsid w:val="0082561A"/>
    <w:rsid w:val="00831B46"/>
    <w:rsid w:val="00835232"/>
    <w:rsid w:val="00846B2E"/>
    <w:rsid w:val="008517A9"/>
    <w:rsid w:val="00864598"/>
    <w:rsid w:val="00865FF7"/>
    <w:rsid w:val="00872F6C"/>
    <w:rsid w:val="0088632D"/>
    <w:rsid w:val="00890186"/>
    <w:rsid w:val="00891C8A"/>
    <w:rsid w:val="008926F7"/>
    <w:rsid w:val="0089287C"/>
    <w:rsid w:val="008A7510"/>
    <w:rsid w:val="008B1EB1"/>
    <w:rsid w:val="008B672F"/>
    <w:rsid w:val="008C68AE"/>
    <w:rsid w:val="008C78BD"/>
    <w:rsid w:val="008E165F"/>
    <w:rsid w:val="008E3B3F"/>
    <w:rsid w:val="008E5CC6"/>
    <w:rsid w:val="008F0C19"/>
    <w:rsid w:val="008F26E9"/>
    <w:rsid w:val="008F342A"/>
    <w:rsid w:val="00900D90"/>
    <w:rsid w:val="00916D74"/>
    <w:rsid w:val="00921863"/>
    <w:rsid w:val="0093374D"/>
    <w:rsid w:val="009354D6"/>
    <w:rsid w:val="00937152"/>
    <w:rsid w:val="00964838"/>
    <w:rsid w:val="00970A98"/>
    <w:rsid w:val="00970F7B"/>
    <w:rsid w:val="0097750F"/>
    <w:rsid w:val="009802B4"/>
    <w:rsid w:val="00981ECB"/>
    <w:rsid w:val="00983B6A"/>
    <w:rsid w:val="009964B2"/>
    <w:rsid w:val="009B56FE"/>
    <w:rsid w:val="009C781F"/>
    <w:rsid w:val="009D3E39"/>
    <w:rsid w:val="009D514C"/>
    <w:rsid w:val="009E5B48"/>
    <w:rsid w:val="009E6170"/>
    <w:rsid w:val="00A10424"/>
    <w:rsid w:val="00A2233F"/>
    <w:rsid w:val="00A332D9"/>
    <w:rsid w:val="00A4484F"/>
    <w:rsid w:val="00A45E8E"/>
    <w:rsid w:val="00A56518"/>
    <w:rsid w:val="00A60E33"/>
    <w:rsid w:val="00A6112A"/>
    <w:rsid w:val="00A76D4B"/>
    <w:rsid w:val="00A77C47"/>
    <w:rsid w:val="00A9119C"/>
    <w:rsid w:val="00AA2969"/>
    <w:rsid w:val="00AA4549"/>
    <w:rsid w:val="00AB0A11"/>
    <w:rsid w:val="00AB0CFC"/>
    <w:rsid w:val="00AB6691"/>
    <w:rsid w:val="00AC5144"/>
    <w:rsid w:val="00AC5AED"/>
    <w:rsid w:val="00AD3F7A"/>
    <w:rsid w:val="00AD6FA5"/>
    <w:rsid w:val="00AD77C5"/>
    <w:rsid w:val="00AE0098"/>
    <w:rsid w:val="00AE0EB2"/>
    <w:rsid w:val="00AE519B"/>
    <w:rsid w:val="00AF6377"/>
    <w:rsid w:val="00B05543"/>
    <w:rsid w:val="00B13014"/>
    <w:rsid w:val="00B21B25"/>
    <w:rsid w:val="00B329A8"/>
    <w:rsid w:val="00B33B19"/>
    <w:rsid w:val="00B34ED4"/>
    <w:rsid w:val="00B404E6"/>
    <w:rsid w:val="00B4360D"/>
    <w:rsid w:val="00B444B6"/>
    <w:rsid w:val="00B47A36"/>
    <w:rsid w:val="00B54409"/>
    <w:rsid w:val="00B67966"/>
    <w:rsid w:val="00B74DCA"/>
    <w:rsid w:val="00B82278"/>
    <w:rsid w:val="00B96D3F"/>
    <w:rsid w:val="00BA2F89"/>
    <w:rsid w:val="00BC3903"/>
    <w:rsid w:val="00BD7297"/>
    <w:rsid w:val="00BE196A"/>
    <w:rsid w:val="00BE47E0"/>
    <w:rsid w:val="00BE61C4"/>
    <w:rsid w:val="00BF4E44"/>
    <w:rsid w:val="00BF75C8"/>
    <w:rsid w:val="00C1762E"/>
    <w:rsid w:val="00C237E1"/>
    <w:rsid w:val="00C30A48"/>
    <w:rsid w:val="00C35FA6"/>
    <w:rsid w:val="00C37955"/>
    <w:rsid w:val="00C43741"/>
    <w:rsid w:val="00C457B8"/>
    <w:rsid w:val="00C52E56"/>
    <w:rsid w:val="00C55768"/>
    <w:rsid w:val="00C57B86"/>
    <w:rsid w:val="00C640FB"/>
    <w:rsid w:val="00C65651"/>
    <w:rsid w:val="00C703CC"/>
    <w:rsid w:val="00C714C5"/>
    <w:rsid w:val="00CA5464"/>
    <w:rsid w:val="00CB054E"/>
    <w:rsid w:val="00CB4562"/>
    <w:rsid w:val="00CC232E"/>
    <w:rsid w:val="00CC29AF"/>
    <w:rsid w:val="00CC52D7"/>
    <w:rsid w:val="00CD1D4C"/>
    <w:rsid w:val="00CF6C89"/>
    <w:rsid w:val="00D0449D"/>
    <w:rsid w:val="00D12201"/>
    <w:rsid w:val="00D2360B"/>
    <w:rsid w:val="00D23AB6"/>
    <w:rsid w:val="00D427DF"/>
    <w:rsid w:val="00D50309"/>
    <w:rsid w:val="00D51AA9"/>
    <w:rsid w:val="00D7264A"/>
    <w:rsid w:val="00D74286"/>
    <w:rsid w:val="00D84E43"/>
    <w:rsid w:val="00D94248"/>
    <w:rsid w:val="00D947FE"/>
    <w:rsid w:val="00DA4BE9"/>
    <w:rsid w:val="00DB0C2F"/>
    <w:rsid w:val="00DB3BF6"/>
    <w:rsid w:val="00DC31CC"/>
    <w:rsid w:val="00DC7239"/>
    <w:rsid w:val="00DC728A"/>
    <w:rsid w:val="00DD51B6"/>
    <w:rsid w:val="00DD597C"/>
    <w:rsid w:val="00DE67E4"/>
    <w:rsid w:val="00DE68FD"/>
    <w:rsid w:val="00E00594"/>
    <w:rsid w:val="00E01920"/>
    <w:rsid w:val="00E155DF"/>
    <w:rsid w:val="00E31917"/>
    <w:rsid w:val="00E416CD"/>
    <w:rsid w:val="00E41B5E"/>
    <w:rsid w:val="00E45AAF"/>
    <w:rsid w:val="00E623AB"/>
    <w:rsid w:val="00E640EB"/>
    <w:rsid w:val="00E77734"/>
    <w:rsid w:val="00E81EDF"/>
    <w:rsid w:val="00E9797A"/>
    <w:rsid w:val="00EA5D3D"/>
    <w:rsid w:val="00EB0FBF"/>
    <w:rsid w:val="00EB6C63"/>
    <w:rsid w:val="00EC1C89"/>
    <w:rsid w:val="00EC3319"/>
    <w:rsid w:val="00EC4DE1"/>
    <w:rsid w:val="00ED4637"/>
    <w:rsid w:val="00ED6862"/>
    <w:rsid w:val="00EE0436"/>
    <w:rsid w:val="00EE79C3"/>
    <w:rsid w:val="00EE7C80"/>
    <w:rsid w:val="00F17663"/>
    <w:rsid w:val="00F23020"/>
    <w:rsid w:val="00F41324"/>
    <w:rsid w:val="00F42715"/>
    <w:rsid w:val="00F531B8"/>
    <w:rsid w:val="00F533AC"/>
    <w:rsid w:val="00F55D46"/>
    <w:rsid w:val="00F609FD"/>
    <w:rsid w:val="00F66874"/>
    <w:rsid w:val="00F7179B"/>
    <w:rsid w:val="00F76FC2"/>
    <w:rsid w:val="00F81345"/>
    <w:rsid w:val="00F859AB"/>
    <w:rsid w:val="00F9284E"/>
    <w:rsid w:val="00F939D0"/>
    <w:rsid w:val="00F950D0"/>
    <w:rsid w:val="00F97E01"/>
    <w:rsid w:val="00FA2C26"/>
    <w:rsid w:val="00FA650F"/>
    <w:rsid w:val="00FB6E8E"/>
    <w:rsid w:val="00FC5311"/>
    <w:rsid w:val="00FD108F"/>
    <w:rsid w:val="00FE590C"/>
    <w:rsid w:val="022C2410"/>
    <w:rsid w:val="026D0131"/>
    <w:rsid w:val="03643C6B"/>
    <w:rsid w:val="037A1E29"/>
    <w:rsid w:val="04EE43A7"/>
    <w:rsid w:val="05430913"/>
    <w:rsid w:val="066933CB"/>
    <w:rsid w:val="06CE78F2"/>
    <w:rsid w:val="08143E27"/>
    <w:rsid w:val="086A4C04"/>
    <w:rsid w:val="0B6F1F7D"/>
    <w:rsid w:val="0C673246"/>
    <w:rsid w:val="0D7F33C7"/>
    <w:rsid w:val="0DF37BFF"/>
    <w:rsid w:val="0E9D6641"/>
    <w:rsid w:val="1418619C"/>
    <w:rsid w:val="14975605"/>
    <w:rsid w:val="14A01541"/>
    <w:rsid w:val="15FE575C"/>
    <w:rsid w:val="1677277F"/>
    <w:rsid w:val="174F6B4B"/>
    <w:rsid w:val="18270B7C"/>
    <w:rsid w:val="185505DC"/>
    <w:rsid w:val="18C666BE"/>
    <w:rsid w:val="1AA87F19"/>
    <w:rsid w:val="1B22113A"/>
    <w:rsid w:val="1B363C6A"/>
    <w:rsid w:val="1B8A5B02"/>
    <w:rsid w:val="1DD376B7"/>
    <w:rsid w:val="1E911FB2"/>
    <w:rsid w:val="206D37DF"/>
    <w:rsid w:val="233002B5"/>
    <w:rsid w:val="236036FD"/>
    <w:rsid w:val="23A05440"/>
    <w:rsid w:val="23C50556"/>
    <w:rsid w:val="24960C0F"/>
    <w:rsid w:val="277874DD"/>
    <w:rsid w:val="2933258B"/>
    <w:rsid w:val="298E16C7"/>
    <w:rsid w:val="2B7C5C81"/>
    <w:rsid w:val="2F132635"/>
    <w:rsid w:val="30077F05"/>
    <w:rsid w:val="3121340F"/>
    <w:rsid w:val="336668FA"/>
    <w:rsid w:val="344C2C16"/>
    <w:rsid w:val="36316B15"/>
    <w:rsid w:val="368076E6"/>
    <w:rsid w:val="388D7049"/>
    <w:rsid w:val="3A5E67F0"/>
    <w:rsid w:val="3AF80478"/>
    <w:rsid w:val="3C0E0AC1"/>
    <w:rsid w:val="3DE33F68"/>
    <w:rsid w:val="3FB22C0A"/>
    <w:rsid w:val="40897464"/>
    <w:rsid w:val="40E1302A"/>
    <w:rsid w:val="42BE08E7"/>
    <w:rsid w:val="433A3D7A"/>
    <w:rsid w:val="43A019F4"/>
    <w:rsid w:val="46A13001"/>
    <w:rsid w:val="4A9A51B9"/>
    <w:rsid w:val="4DEC7E75"/>
    <w:rsid w:val="4E276A76"/>
    <w:rsid w:val="4F8709AB"/>
    <w:rsid w:val="50C47F64"/>
    <w:rsid w:val="53300D28"/>
    <w:rsid w:val="54CD7B20"/>
    <w:rsid w:val="55CC3E04"/>
    <w:rsid w:val="55E57CB6"/>
    <w:rsid w:val="564B4BD9"/>
    <w:rsid w:val="56696C12"/>
    <w:rsid w:val="57AD6E41"/>
    <w:rsid w:val="580B5AEB"/>
    <w:rsid w:val="583257C1"/>
    <w:rsid w:val="5D1D443F"/>
    <w:rsid w:val="5D337EA0"/>
    <w:rsid w:val="5DF072F7"/>
    <w:rsid w:val="5E337017"/>
    <w:rsid w:val="5FBD11D0"/>
    <w:rsid w:val="61237A57"/>
    <w:rsid w:val="61B402D8"/>
    <w:rsid w:val="62342F4C"/>
    <w:rsid w:val="64F6329D"/>
    <w:rsid w:val="652A577F"/>
    <w:rsid w:val="65E55D8E"/>
    <w:rsid w:val="6898111C"/>
    <w:rsid w:val="6983088A"/>
    <w:rsid w:val="6A485270"/>
    <w:rsid w:val="6B37137A"/>
    <w:rsid w:val="6C145AA4"/>
    <w:rsid w:val="6DFD23E8"/>
    <w:rsid w:val="6F307698"/>
    <w:rsid w:val="702B184D"/>
    <w:rsid w:val="704B76D3"/>
    <w:rsid w:val="709D748C"/>
    <w:rsid w:val="73193673"/>
    <w:rsid w:val="78467F33"/>
    <w:rsid w:val="7A056855"/>
    <w:rsid w:val="7B582B92"/>
    <w:rsid w:val="7C27123E"/>
    <w:rsid w:val="7D041E17"/>
    <w:rsid w:val="7D36154A"/>
    <w:rsid w:val="7D8E47C1"/>
    <w:rsid w:val="7E3D508D"/>
    <w:rsid w:val="7FCE7438"/>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page number" w:uiPriority="99"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Table Grid" w:uiPriority="5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4ED4"/>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B34ED4"/>
    <w:rPr>
      <w:sz w:val="18"/>
      <w:szCs w:val="18"/>
      <w:lang/>
    </w:rPr>
  </w:style>
  <w:style w:type="paragraph" w:styleId="a4">
    <w:name w:val="footer"/>
    <w:basedOn w:val="a"/>
    <w:link w:val="Char0"/>
    <w:uiPriority w:val="99"/>
    <w:unhideWhenUsed/>
    <w:qFormat/>
    <w:rsid w:val="00B34ED4"/>
    <w:pPr>
      <w:tabs>
        <w:tab w:val="center" w:pos="4153"/>
        <w:tab w:val="right" w:pos="8306"/>
      </w:tabs>
      <w:snapToGrid w:val="0"/>
      <w:jc w:val="left"/>
    </w:pPr>
    <w:rPr>
      <w:kern w:val="0"/>
      <w:sz w:val="18"/>
      <w:szCs w:val="18"/>
      <w:lang/>
    </w:rPr>
  </w:style>
  <w:style w:type="paragraph" w:styleId="a5">
    <w:name w:val="header"/>
    <w:basedOn w:val="a"/>
    <w:link w:val="Char1"/>
    <w:uiPriority w:val="99"/>
    <w:unhideWhenUsed/>
    <w:qFormat/>
    <w:rsid w:val="00B34ED4"/>
    <w:pPr>
      <w:pBdr>
        <w:bottom w:val="single" w:sz="6" w:space="1" w:color="auto"/>
      </w:pBdr>
      <w:tabs>
        <w:tab w:val="center" w:pos="4153"/>
        <w:tab w:val="right" w:pos="8306"/>
      </w:tabs>
      <w:snapToGrid w:val="0"/>
      <w:jc w:val="center"/>
    </w:pPr>
    <w:rPr>
      <w:kern w:val="0"/>
      <w:sz w:val="18"/>
      <w:szCs w:val="18"/>
      <w:lang/>
    </w:rPr>
  </w:style>
  <w:style w:type="paragraph" w:styleId="a6">
    <w:name w:val="Normal (Web)"/>
    <w:basedOn w:val="a"/>
    <w:qFormat/>
    <w:rsid w:val="00B34ED4"/>
    <w:pPr>
      <w:widowControl/>
      <w:spacing w:before="100" w:beforeAutospacing="1" w:after="100" w:afterAutospacing="1"/>
      <w:jc w:val="left"/>
    </w:pPr>
    <w:rPr>
      <w:rFonts w:ascii="宋体" w:hAnsi="宋体"/>
      <w:kern w:val="0"/>
      <w:sz w:val="24"/>
      <w:szCs w:val="24"/>
    </w:rPr>
  </w:style>
  <w:style w:type="table" w:styleId="a7">
    <w:name w:val="Table Grid"/>
    <w:basedOn w:val="a1"/>
    <w:uiPriority w:val="59"/>
    <w:qFormat/>
    <w:rsid w:val="00B34E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0"/>
    <w:uiPriority w:val="99"/>
    <w:unhideWhenUsed/>
    <w:qFormat/>
    <w:rsid w:val="00B34ED4"/>
  </w:style>
  <w:style w:type="paragraph" w:customStyle="1" w:styleId="zhongyaotishi">
    <w:name w:val="zhongyaotishi"/>
    <w:basedOn w:val="a"/>
    <w:qFormat/>
    <w:rsid w:val="00B34ED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2">
    <w:name w:val="zhangjie_p2"/>
    <w:basedOn w:val="a"/>
    <w:qFormat/>
    <w:rsid w:val="00B34ED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msonormalfy">
    <w:name w:val="msonormalfy"/>
    <w:qFormat/>
    <w:rsid w:val="00B34ED4"/>
    <w:pPr>
      <w:widowControl w:val="0"/>
      <w:jc w:val="center"/>
    </w:pPr>
    <w:rPr>
      <w:kern w:val="2"/>
      <w:sz w:val="33"/>
      <w:szCs w:val="22"/>
    </w:rPr>
  </w:style>
  <w:style w:type="paragraph" w:customStyle="1" w:styleId="neirong">
    <w:name w:val="neirong"/>
    <w:basedOn w:val="a"/>
    <w:qFormat/>
    <w:rsid w:val="00B34ED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hide">
    <w:name w:val="hide"/>
    <w:basedOn w:val="a"/>
    <w:qFormat/>
    <w:rsid w:val="00B34ED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B34ED4"/>
    <w:pPr>
      <w:widowControl/>
      <w:spacing w:before="100" w:beforeAutospacing="1" w:after="100" w:afterAutospacing="1"/>
      <w:jc w:val="left"/>
    </w:pPr>
    <w:rPr>
      <w:rFonts w:ascii="宋体" w:hAnsi="宋体" w:cs="宋体"/>
      <w:kern w:val="0"/>
      <w:sz w:val="24"/>
      <w:szCs w:val="24"/>
    </w:rPr>
  </w:style>
  <w:style w:type="paragraph" w:customStyle="1" w:styleId="biaogeleft">
    <w:name w:val="biaoge_left"/>
    <w:basedOn w:val="a"/>
    <w:qFormat/>
    <w:rsid w:val="00B34ED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B34ED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msonormalnone">
    <w:name w:val="msonormal_none"/>
    <w:qFormat/>
    <w:rsid w:val="00B34ED4"/>
    <w:pPr>
      <w:widowControl w:val="0"/>
    </w:pPr>
    <w:rPr>
      <w:kern w:val="2"/>
      <w:sz w:val="21"/>
      <w:szCs w:val="22"/>
    </w:rPr>
  </w:style>
  <w:style w:type="paragraph" w:customStyle="1" w:styleId="biaogecenter">
    <w:name w:val="biaoge_center"/>
    <w:basedOn w:val="a"/>
    <w:qFormat/>
    <w:rsid w:val="00B34ED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
    <w:name w:val="正文1"/>
    <w:qFormat/>
    <w:rsid w:val="00B34ED4"/>
    <w:pPr>
      <w:jc w:val="both"/>
    </w:pPr>
    <w:rPr>
      <w:kern w:val="2"/>
      <w:sz w:val="21"/>
      <w:szCs w:val="21"/>
    </w:rPr>
  </w:style>
  <w:style w:type="paragraph" w:customStyle="1" w:styleId="biaogeright1">
    <w:name w:val="biaoge_right1"/>
    <w:basedOn w:val="a"/>
    <w:qFormat/>
    <w:rsid w:val="00B34ED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B34ED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dazhangjie">
    <w:name w:val="dazhangjie"/>
    <w:basedOn w:val="a"/>
    <w:qFormat/>
    <w:rsid w:val="00B34ED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character" w:customStyle="1" w:styleId="Char">
    <w:name w:val="批注框文本 Char"/>
    <w:link w:val="a3"/>
    <w:uiPriority w:val="99"/>
    <w:semiHidden/>
    <w:qFormat/>
    <w:rsid w:val="00B34ED4"/>
    <w:rPr>
      <w:kern w:val="2"/>
      <w:sz w:val="18"/>
      <w:szCs w:val="18"/>
    </w:rPr>
  </w:style>
  <w:style w:type="character" w:customStyle="1" w:styleId="Char0">
    <w:name w:val="页脚 Char"/>
    <w:link w:val="a4"/>
    <w:uiPriority w:val="99"/>
    <w:semiHidden/>
    <w:qFormat/>
    <w:locked/>
    <w:rsid w:val="00B34ED4"/>
    <w:rPr>
      <w:rFonts w:ascii="Times New Roman" w:hAnsi="Times New Roman" w:cs="Times New Roman" w:hint="default"/>
      <w:sz w:val="18"/>
      <w:szCs w:val="18"/>
    </w:rPr>
  </w:style>
  <w:style w:type="character" w:customStyle="1" w:styleId="Char1">
    <w:name w:val="页眉 Char"/>
    <w:link w:val="a5"/>
    <w:uiPriority w:val="99"/>
    <w:semiHidden/>
    <w:qFormat/>
    <w:locked/>
    <w:rsid w:val="00B34ED4"/>
    <w:rPr>
      <w:rFonts w:ascii="Times New Roman" w:hAnsi="Times New Roman" w:cs="Times New Roman" w:hint="default"/>
      <w:sz w:val="18"/>
      <w:szCs w:val="18"/>
    </w:rPr>
  </w:style>
  <w:style w:type="table" w:customStyle="1" w:styleId="dqbgxx">
    <w:name w:val="dqbgxx"/>
    <w:basedOn w:val="a1"/>
    <w:qFormat/>
    <w:rsid w:val="00B34ED4"/>
    <w:pPr>
      <w:spacing w:line="288" w:lineRule="auto"/>
      <w:jc w:val="center"/>
    </w:pPr>
    <w:rPr>
      <w:rFonts w:eastAsia="黑体"/>
      <w:color w:val="000000"/>
      <w:sz w:val="22"/>
    </w:rPr>
    <w:tblPr>
      <w:tblInd w:w="0" w:type="dxa"/>
      <w:tblBorders>
        <w:top w:val="single" w:sz="4" w:space="0" w:color="auto"/>
        <w:bottom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rFonts w:eastAsia="黑体" w:hint="default"/>
        <w:b/>
        <w:sz w:val="22"/>
      </w:rPr>
    </w:tblStylePr>
    <w:tblStylePr w:type="firstCol">
      <w:rPr>
        <w:rFonts w:eastAsia="黑体" w:hint="default"/>
        <w:b/>
      </w:rPr>
    </w:tblStylePr>
  </w:style>
  <w:style w:type="paragraph" w:customStyle="1" w:styleId="dqbgbnwz">
    <w:name w:val="dqbgbnwz"/>
    <w:basedOn w:val="a"/>
    <w:link w:val="dqbgbnwzChar"/>
    <w:qFormat/>
    <w:rsid w:val="00B34ED4"/>
    <w:pPr>
      <w:widowControl/>
      <w:spacing w:line="288" w:lineRule="auto"/>
      <w:jc w:val="center"/>
    </w:pPr>
    <w:rPr>
      <w:rFonts w:eastAsia="黑体" w:cs="宋体"/>
      <w:kern w:val="0"/>
      <w:sz w:val="22"/>
      <w:szCs w:val="24"/>
    </w:rPr>
  </w:style>
  <w:style w:type="character" w:customStyle="1" w:styleId="dqbgbnwzChar">
    <w:name w:val="dqbgbnwz Char"/>
    <w:basedOn w:val="a0"/>
    <w:link w:val="dqbgbnwz"/>
    <w:qFormat/>
    <w:rsid w:val="00B34ED4"/>
    <w:rPr>
      <w:rFonts w:ascii="Times New Roman" w:eastAsia="黑体" w:hAnsi="Times New Roman" w:cs="宋体"/>
      <w:sz w:val="22"/>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422</Words>
  <Characters>2412</Characters>
  <Application>Microsoft Office Word</Application>
  <DocSecurity>0</DocSecurity>
  <Lines>20</Lines>
  <Paragraphs>5</Paragraphs>
  <ScaleCrop>false</ScaleCrop>
  <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Luvian</dc:creator>
  <cp:lastModifiedBy>NJCB</cp:lastModifiedBy>
  <cp:revision>55</cp:revision>
  <dcterms:created xsi:type="dcterms:W3CDTF">2021-06-30T07:28:00Z</dcterms:created>
  <dcterms:modified xsi:type="dcterms:W3CDTF">2022-10-20T08:12:00Z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