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44E" w:rsidRDefault="00B6244E">
      <w:pPr>
        <w:pStyle w:val="dazhangjie"/>
        <w:ind w:left="0"/>
        <w:jc w:val="both"/>
        <w:rPr>
          <w:b/>
          <w:bCs/>
          <w:color w:val="000000"/>
        </w:rPr>
      </w:pPr>
    </w:p>
    <w:p w:rsidR="00B6244E" w:rsidRDefault="00B6244E">
      <w:pPr>
        <w:pStyle w:val="dazhangjie"/>
        <w:ind w:left="0"/>
        <w:jc w:val="both"/>
        <w:rPr>
          <w:b/>
          <w:bCs/>
          <w:color w:val="000000"/>
        </w:rPr>
      </w:pPr>
    </w:p>
    <w:p w:rsidR="00B6244E" w:rsidRDefault="00B6244E">
      <w:pPr>
        <w:pStyle w:val="dazhangjie"/>
        <w:ind w:left="0"/>
        <w:jc w:val="both"/>
        <w:rPr>
          <w:b/>
          <w:bCs/>
          <w:color w:val="000000"/>
        </w:rPr>
      </w:pPr>
    </w:p>
    <w:p w:rsidR="00B6244E" w:rsidRDefault="00667BD4">
      <w:pPr>
        <w:pStyle w:val="dazhangjie"/>
        <w:spacing w:before="240" w:after="120"/>
        <w:rPr>
          <w:rFonts w:ascii="黑体" w:eastAsia="黑体"/>
          <w:b/>
          <w:bCs/>
          <w:color w:val="000000"/>
          <w:sz w:val="36"/>
        </w:rPr>
      </w:pPr>
      <w:r>
        <w:rPr>
          <w:rFonts w:ascii="黑体" w:eastAsia="黑体" w:hint="eastAsia"/>
          <w:b/>
          <w:bCs/>
          <w:color w:val="000000"/>
          <w:sz w:val="36"/>
        </w:rPr>
        <w:t>南银理财珠联璧合理财管理计划1号公募人民币理财产品</w:t>
      </w:r>
    </w:p>
    <w:p w:rsidR="00B6244E" w:rsidRDefault="00F61274">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ind w:left="0"/>
        <w:jc w:val="both"/>
        <w:rPr>
          <w:rFonts w:ascii="黑体" w:eastAsia="黑体" w:hAnsi="黑体"/>
          <w:b/>
          <w:bCs/>
          <w:color w:val="000000"/>
          <w:sz w:val="36"/>
        </w:rPr>
      </w:pPr>
    </w:p>
    <w:p w:rsidR="00B6244E" w:rsidRDefault="00667BD4">
      <w:pPr>
        <w:pStyle w:val="dazhangjie"/>
        <w:spacing w:before="240" w:after="120"/>
        <w:rPr>
          <w:b/>
          <w:bCs/>
          <w:color w:val="000000"/>
        </w:rPr>
      </w:pPr>
      <w:r>
        <w:rPr>
          <w:rFonts w:hint="eastAsia"/>
          <w:b/>
          <w:bCs/>
          <w:color w:val="000000"/>
        </w:rPr>
        <w:t>产品</w:t>
      </w:r>
      <w:r>
        <w:rPr>
          <w:b/>
          <w:bCs/>
          <w:color w:val="000000"/>
        </w:rPr>
        <w:t>管理人:南银理财有限责任公司</w:t>
      </w:r>
    </w:p>
    <w:p w:rsidR="00B6244E" w:rsidRDefault="00667BD4">
      <w:pPr>
        <w:pStyle w:val="dazhangjie"/>
        <w:spacing w:before="240" w:after="120"/>
        <w:rPr>
          <w:b/>
          <w:bCs/>
          <w:color w:val="000000"/>
        </w:rPr>
      </w:pPr>
      <w:r>
        <w:rPr>
          <w:rFonts w:hint="eastAsia"/>
          <w:b/>
          <w:bCs/>
          <w:color w:val="000000"/>
        </w:rPr>
        <w:t>产品</w:t>
      </w:r>
      <w:r>
        <w:rPr>
          <w:b/>
          <w:bCs/>
          <w:color w:val="000000"/>
        </w:rPr>
        <w:t>托管人:南京银行股份有限公司</w:t>
      </w:r>
    </w:p>
    <w:p w:rsidR="00B6244E" w:rsidRDefault="00667BD4">
      <w:pPr>
        <w:widowControl/>
        <w:jc w:val="left"/>
        <w:rPr>
          <w:b/>
          <w:bCs/>
          <w:color w:val="000000"/>
        </w:rPr>
      </w:pPr>
      <w:r>
        <w:rPr>
          <w:rFonts w:hint="eastAsia"/>
          <w:b/>
          <w:bCs/>
          <w:color w:val="000000"/>
        </w:rPr>
        <w:br w:type="page"/>
      </w:r>
    </w:p>
    <w:p w:rsidR="00B6244E" w:rsidRDefault="00667BD4">
      <w:pPr>
        <w:pStyle w:val="dazhangjie"/>
        <w:rPr>
          <w:color w:val="000000"/>
        </w:rPr>
      </w:pPr>
      <w:r>
        <w:rPr>
          <w:rFonts w:hAnsi="Calibri" w:hint="eastAsia"/>
          <w:b/>
          <w:color w:val="000000"/>
        </w:rPr>
        <w:t>§1 产品概况</w:t>
      </w:r>
    </w:p>
    <w:p w:rsidR="00B6244E" w:rsidRDefault="00B6244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pPr>
            <w:r>
              <w:rPr>
                <w:rFonts w:hint="eastAsia"/>
              </w:rPr>
              <w:t>南银理财珠联璧合理财管理计划1号公募人民币理财产品</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pPr>
            <w:r>
              <w:rPr>
                <w:rFonts w:hint="eastAsia"/>
              </w:rPr>
              <w:t>Z7003220000003（投资者可依据该编码在中国理财网www.chinawealth.com.cn查询理财产品相关信息）</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开放式净值型</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color w:val="000000"/>
              </w:rPr>
              <w:t>2014年09月17日</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F61274">
            <w:pPr>
              <w:pStyle w:val="biaogeleft"/>
              <w:wordWrap w:val="0"/>
            </w:pPr>
            <w:r>
              <w:t>8,418,237,185.36份</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3935A1">
            <w:pPr>
              <w:pStyle w:val="biaogeleft"/>
              <w:wordWrap w:val="0"/>
              <w:rPr>
                <w:color w:val="000000"/>
              </w:rPr>
            </w:pPr>
            <w:r w:rsidRPr="003935A1">
              <w:rPr>
                <w:rFonts w:hint="eastAsia"/>
                <w:color w:val="000000"/>
              </w:rPr>
              <w:t>太平洋资产管理有限责任公司、鑫元基金管理有限公司</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neirong"/>
              <w:wordWrap w:val="0"/>
              <w:rPr>
                <w:color w:val="000000"/>
              </w:rPr>
            </w:pPr>
            <w:r>
              <w:rPr>
                <w:color w:val="000000"/>
              </w:rPr>
              <w:t>南银理财有限责任公司</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color w:val="000000"/>
              </w:rPr>
              <w:t>南京银行股份有限公司</w:t>
            </w:r>
          </w:p>
        </w:tc>
      </w:tr>
    </w:tbl>
    <w:p w:rsidR="00B6244E" w:rsidRDefault="00B6244E">
      <w:pPr>
        <w:widowControl/>
        <w:jc w:val="left"/>
        <w:rPr>
          <w:rFonts w:ascii="宋体" w:hAnsi="宋体" w:cs="宋体"/>
          <w:color w:val="000000"/>
          <w:kern w:val="0"/>
          <w:sz w:val="24"/>
          <w:szCs w:val="24"/>
        </w:rPr>
      </w:pPr>
    </w:p>
    <w:p w:rsidR="00B6244E" w:rsidRDefault="00667BD4">
      <w:pPr>
        <w:pStyle w:val="dazhangjie"/>
        <w:rPr>
          <w:color w:val="000000"/>
        </w:rPr>
      </w:pPr>
      <w:r>
        <w:rPr>
          <w:rFonts w:hAnsi="Calibri" w:hint="eastAsia"/>
          <w:b/>
          <w:color w:val="000000"/>
        </w:rPr>
        <w:t>§2  主要财务指标</w:t>
      </w:r>
    </w:p>
    <w:p w:rsidR="00B6244E" w:rsidRDefault="00667BD4">
      <w:pPr>
        <w:pStyle w:val="zhangjiep"/>
        <w:ind w:left="0"/>
        <w:rPr>
          <w:color w:val="000000"/>
        </w:rPr>
      </w:pPr>
      <w:r>
        <w:rPr>
          <w:rFonts w:hint="eastAsia"/>
          <w:b/>
          <w:bCs/>
          <w:color w:val="000000"/>
        </w:rPr>
        <w:t>2.1 主要财务指标</w:t>
      </w:r>
    </w:p>
    <w:p w:rsidR="00B6244E" w:rsidRDefault="00667BD4">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58045F">
        <w:tc>
          <w:tcPr>
            <w:tcW w:w="4135" w:type="dxa"/>
            <w:noWrap/>
            <w:vAlign w:val="center"/>
          </w:tcPr>
          <w:p w:rsidR="0058045F" w:rsidRDefault="0058045F">
            <w:pPr>
              <w:pStyle w:val="a6"/>
              <w:wordWrap w:val="0"/>
              <w:jc w:val="center"/>
              <w:rPr>
                <w:b/>
                <w:bCs/>
                <w:color w:val="000000"/>
              </w:rPr>
            </w:pPr>
            <w:r>
              <w:rPr>
                <w:rFonts w:hint="eastAsia"/>
                <w:b/>
                <w:bCs/>
                <w:color w:val="000000"/>
              </w:rPr>
              <w:t>主要财务指标</w:t>
            </w:r>
          </w:p>
        </w:tc>
        <w:tc>
          <w:tcPr>
            <w:tcW w:w="5187" w:type="dxa"/>
            <w:noWrap/>
          </w:tcPr>
          <w:p w:rsidR="0058045F" w:rsidRDefault="00F61274" w:rsidP="00894C0B">
            <w:pPr>
              <w:pStyle w:val="zhangjiep"/>
              <w:jc w:val="center"/>
              <w:rPr>
                <w:b/>
                <w:bCs/>
                <w:color w:val="000000"/>
              </w:rPr>
            </w:pPr>
            <w:r>
              <w:rPr>
                <w:rFonts w:hint="eastAsia"/>
              </w:rPr>
              <w:t>报告期（</w:t>
            </w:r>
            <w:r>
              <w:t>2022年7月1日 - 2022年9月30日）</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B6244E" w:rsidRDefault="00F61274">
            <w:pPr>
              <w:pStyle w:val="biaogeright"/>
              <w:jc w:val="center"/>
              <w:rPr>
                <w:b/>
                <w:bCs/>
                <w:color w:val="000000"/>
              </w:rPr>
            </w:pPr>
            <w:r>
              <w:rPr>
                <w:color w:val="000000"/>
              </w:rPr>
              <w:t>8,755,946,901.80</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B6244E" w:rsidRDefault="00F61274">
            <w:pPr>
              <w:pStyle w:val="biaogeright"/>
              <w:jc w:val="center"/>
              <w:rPr>
                <w:b/>
                <w:bCs/>
                <w:color w:val="000000"/>
              </w:rPr>
            </w:pPr>
            <w:r>
              <w:rPr>
                <w:color w:val="000000"/>
              </w:rPr>
              <w:t>1.0401</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B6244E" w:rsidRDefault="00F61274">
            <w:pPr>
              <w:pStyle w:val="biaogeright"/>
              <w:jc w:val="center"/>
              <w:rPr>
                <w:b/>
                <w:bCs/>
                <w:color w:val="000000"/>
              </w:rPr>
            </w:pPr>
            <w:r>
              <w:rPr>
                <w:color w:val="000000"/>
              </w:rPr>
              <w:t>1.3745</w:t>
            </w:r>
          </w:p>
        </w:tc>
      </w:tr>
    </w:tbl>
    <w:p w:rsidR="00B6244E" w:rsidRDefault="00667BD4">
      <w:pPr>
        <w:pStyle w:val="biaogeleft"/>
        <w:ind w:left="0"/>
        <w:rPr>
          <w:color w:val="000000"/>
        </w:rPr>
      </w:pPr>
      <w:r>
        <w:rPr>
          <w:rFonts w:hint="eastAsia"/>
        </w:rPr>
        <w:t>注：产品净值可能存在未扣除管理人及投资合作机构业绩报酬、赎回费等费用（如有）的情况，实际收益以兑付为准。</w:t>
      </w:r>
    </w:p>
    <w:p w:rsidR="00B6244E" w:rsidRDefault="00B6244E">
      <w:pPr>
        <w:pStyle w:val="zhangjiep"/>
        <w:ind w:left="0"/>
        <w:rPr>
          <w:b/>
          <w:bCs/>
          <w:color w:val="000000"/>
        </w:rPr>
      </w:pPr>
    </w:p>
    <w:p w:rsidR="00B6244E" w:rsidRDefault="00B6244E">
      <w:pPr>
        <w:widowControl/>
        <w:jc w:val="left"/>
        <w:rPr>
          <w:rFonts w:ascii="宋体" w:hAnsi="宋体" w:cs="宋体"/>
          <w:color w:val="000000"/>
          <w:kern w:val="0"/>
          <w:sz w:val="24"/>
          <w:szCs w:val="24"/>
        </w:rPr>
      </w:pPr>
    </w:p>
    <w:p w:rsidR="00B6244E" w:rsidRDefault="00667BD4">
      <w:pPr>
        <w:pStyle w:val="dazhangjie"/>
        <w:rPr>
          <w:color w:val="000000"/>
        </w:rPr>
      </w:pPr>
      <w:r>
        <w:rPr>
          <w:rFonts w:hAnsi="Calibri" w:hint="eastAsia"/>
          <w:b/>
          <w:color w:val="000000"/>
        </w:rPr>
        <w:t>§3  管理人报告</w:t>
      </w:r>
    </w:p>
    <w:p w:rsidR="00894C0B" w:rsidRDefault="00894C0B" w:rsidP="00894C0B">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751C5A" w:rsidRPr="00263ECA" w:rsidRDefault="00751C5A" w:rsidP="00751C5A">
      <w:pPr>
        <w:spacing w:line="360" w:lineRule="auto"/>
        <w:ind w:firstLineChars="200" w:firstLine="480"/>
        <w:rPr>
          <w:rFonts w:ascii="宋体" w:hAnsi="宋体"/>
          <w:color w:val="000000"/>
          <w:kern w:val="0"/>
          <w:sz w:val="24"/>
          <w:szCs w:val="24"/>
        </w:rPr>
      </w:pPr>
      <w:bookmarkStart w:id="0" w:name="_Hlk116202715"/>
      <w:r w:rsidRPr="00263ECA">
        <w:rPr>
          <w:rFonts w:ascii="宋体" w:hAnsi="宋体" w:hint="eastAsia"/>
          <w:color w:val="000000"/>
          <w:kern w:val="0"/>
          <w:sz w:val="24"/>
          <w:szCs w:val="24"/>
        </w:rPr>
        <w:t>整体来看，三季度债券市场先涨后跌。</w:t>
      </w:r>
      <w:r w:rsidRPr="00263ECA">
        <w:rPr>
          <w:rFonts w:ascii="宋体" w:hAnsi="宋体"/>
          <w:color w:val="000000"/>
          <w:kern w:val="0"/>
          <w:sz w:val="24"/>
          <w:szCs w:val="24"/>
        </w:rPr>
        <w:t>7</w:t>
      </w:r>
      <w:r w:rsidRPr="00263ECA">
        <w:rPr>
          <w:rFonts w:ascii="宋体" w:hAnsi="宋体" w:hint="eastAsia"/>
          <w:color w:val="000000"/>
          <w:kern w:val="0"/>
          <w:sz w:val="24"/>
          <w:szCs w:val="24"/>
        </w:rPr>
        <w:t>月受到房地产风波叠加疫情对国内经济基本面预期造成的负面影响，债券收益率趋于下行。</w:t>
      </w:r>
      <w:r w:rsidRPr="00263ECA">
        <w:rPr>
          <w:rFonts w:ascii="宋体" w:hAnsi="宋体"/>
          <w:color w:val="000000"/>
          <w:kern w:val="0"/>
          <w:sz w:val="24"/>
          <w:szCs w:val="24"/>
        </w:rPr>
        <w:t>8</w:t>
      </w:r>
      <w:r w:rsidRPr="00263ECA">
        <w:rPr>
          <w:rFonts w:ascii="宋体" w:hAnsi="宋体" w:hint="eastAsia"/>
          <w:color w:val="000000"/>
          <w:kern w:val="0"/>
          <w:sz w:val="24"/>
          <w:szCs w:val="24"/>
        </w:rPr>
        <w:t>月央行超预期降息，资金利率不断走低，债市收益率继续下行。随着稳增长政策的加码与持续推进，国内经济与金融数据边际企稳回暖，叠加跨季资金波动、美国鹰派加息及人民币兑美元持续贬值影响，</w:t>
      </w:r>
      <w:r w:rsidRPr="00263ECA">
        <w:rPr>
          <w:rFonts w:ascii="宋体" w:hAnsi="宋体"/>
          <w:color w:val="000000"/>
          <w:kern w:val="0"/>
          <w:sz w:val="24"/>
          <w:szCs w:val="24"/>
        </w:rPr>
        <w:t>9</w:t>
      </w:r>
      <w:r w:rsidRPr="00263ECA">
        <w:rPr>
          <w:rFonts w:ascii="宋体" w:hAnsi="宋体" w:hint="eastAsia"/>
          <w:color w:val="000000"/>
          <w:kern w:val="0"/>
          <w:sz w:val="24"/>
          <w:szCs w:val="24"/>
        </w:rPr>
        <w:t>月债市震荡回调。总体来看，截止季末</w:t>
      </w:r>
      <w:r w:rsidRPr="00263ECA">
        <w:rPr>
          <w:rFonts w:ascii="宋体" w:hAnsi="宋体"/>
          <w:color w:val="000000"/>
          <w:kern w:val="0"/>
          <w:sz w:val="24"/>
          <w:szCs w:val="24"/>
        </w:rPr>
        <w:t>10</w:t>
      </w:r>
      <w:r w:rsidRPr="00263ECA">
        <w:rPr>
          <w:rFonts w:ascii="宋体" w:hAnsi="宋体" w:hint="eastAsia"/>
          <w:color w:val="000000"/>
          <w:kern w:val="0"/>
          <w:sz w:val="24"/>
          <w:szCs w:val="24"/>
        </w:rPr>
        <w:t>年期国债收益率下行</w:t>
      </w:r>
      <w:r w:rsidRPr="00263ECA">
        <w:rPr>
          <w:rFonts w:ascii="宋体" w:hAnsi="宋体"/>
          <w:color w:val="000000"/>
          <w:kern w:val="0"/>
          <w:sz w:val="24"/>
          <w:szCs w:val="24"/>
        </w:rPr>
        <w:t>6bp</w:t>
      </w:r>
      <w:r w:rsidRPr="00263ECA">
        <w:rPr>
          <w:rFonts w:ascii="宋体" w:hAnsi="宋体" w:hint="eastAsia"/>
          <w:color w:val="000000"/>
          <w:kern w:val="0"/>
          <w:sz w:val="24"/>
          <w:szCs w:val="24"/>
        </w:rPr>
        <w:t>至</w:t>
      </w:r>
      <w:r w:rsidRPr="00263ECA">
        <w:rPr>
          <w:rFonts w:ascii="宋体" w:hAnsi="宋体"/>
          <w:color w:val="000000"/>
          <w:kern w:val="0"/>
          <w:sz w:val="24"/>
          <w:szCs w:val="24"/>
        </w:rPr>
        <w:t>2.76%</w:t>
      </w:r>
      <w:r w:rsidRPr="00263ECA">
        <w:rPr>
          <w:rFonts w:ascii="宋体" w:hAnsi="宋体" w:hint="eastAsia"/>
          <w:color w:val="000000"/>
          <w:kern w:val="0"/>
          <w:sz w:val="24"/>
          <w:szCs w:val="24"/>
        </w:rPr>
        <w:t>，</w:t>
      </w:r>
      <w:r w:rsidRPr="00263ECA">
        <w:rPr>
          <w:rFonts w:ascii="宋体" w:hAnsi="宋体"/>
          <w:color w:val="000000"/>
          <w:kern w:val="0"/>
          <w:sz w:val="24"/>
          <w:szCs w:val="24"/>
        </w:rPr>
        <w:t>10</w:t>
      </w:r>
      <w:r w:rsidRPr="00263ECA">
        <w:rPr>
          <w:rFonts w:ascii="宋体" w:hAnsi="宋体" w:hint="eastAsia"/>
          <w:color w:val="000000"/>
          <w:kern w:val="0"/>
          <w:sz w:val="24"/>
          <w:szCs w:val="24"/>
        </w:rPr>
        <w:t>年期国开债收益率下行</w:t>
      </w:r>
      <w:r w:rsidRPr="00263ECA">
        <w:rPr>
          <w:rFonts w:ascii="宋体" w:hAnsi="宋体"/>
          <w:color w:val="000000"/>
          <w:kern w:val="0"/>
          <w:sz w:val="24"/>
          <w:szCs w:val="24"/>
        </w:rPr>
        <w:t>11bp</w:t>
      </w:r>
      <w:r w:rsidRPr="00263ECA">
        <w:rPr>
          <w:rFonts w:ascii="宋体" w:hAnsi="宋体" w:hint="eastAsia"/>
          <w:color w:val="000000"/>
          <w:kern w:val="0"/>
          <w:sz w:val="24"/>
          <w:szCs w:val="24"/>
        </w:rPr>
        <w:t>至</w:t>
      </w:r>
      <w:r w:rsidRPr="00263ECA">
        <w:rPr>
          <w:rFonts w:ascii="宋体" w:hAnsi="宋体"/>
          <w:color w:val="000000"/>
          <w:kern w:val="0"/>
          <w:sz w:val="24"/>
          <w:szCs w:val="24"/>
        </w:rPr>
        <w:t>2.93%</w:t>
      </w:r>
      <w:r w:rsidRPr="00263ECA">
        <w:rPr>
          <w:rFonts w:ascii="宋体" w:hAnsi="宋体" w:hint="eastAsia"/>
          <w:color w:val="000000"/>
          <w:kern w:val="0"/>
          <w:sz w:val="24"/>
          <w:szCs w:val="24"/>
        </w:rPr>
        <w:t>，中债新综合财富指数上涨</w:t>
      </w:r>
      <w:r w:rsidRPr="00263ECA">
        <w:rPr>
          <w:rFonts w:ascii="宋体" w:hAnsi="宋体"/>
          <w:color w:val="000000"/>
          <w:kern w:val="0"/>
          <w:sz w:val="24"/>
          <w:szCs w:val="24"/>
        </w:rPr>
        <w:t>1.02%</w:t>
      </w:r>
      <w:r w:rsidRPr="00263ECA">
        <w:rPr>
          <w:rFonts w:ascii="宋体" w:hAnsi="宋体" w:hint="eastAsia"/>
          <w:color w:val="000000"/>
          <w:kern w:val="0"/>
          <w:sz w:val="24"/>
          <w:szCs w:val="24"/>
        </w:rPr>
        <w:t>。</w:t>
      </w:r>
    </w:p>
    <w:p w:rsidR="00751C5A" w:rsidRPr="00263ECA" w:rsidRDefault="00751C5A" w:rsidP="00751C5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lastRenderedPageBreak/>
        <w:t>展望后市，当前市场对国内地产政策持续放松的预期有所升温，短期内或抑制债市情绪；但资金面整体宽松、国内需求持续疲弱、出口回落、疫情散点爆发等因素也制约着债券市场调整的空间。综合来看，当前多空因素交织，预计债券市场利率低位震荡格局并未改变。</w:t>
      </w:r>
      <w:bookmarkEnd w:id="0"/>
    </w:p>
    <w:p w:rsidR="00751C5A" w:rsidRPr="00263ECA" w:rsidRDefault="00751C5A" w:rsidP="00751C5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始终围绕稳健回报的收益目标进行操作，通过持有短久期的高流动性资产和中等久期的底仓信用资产，在获取稳定可靠的票息收益同时，保证产品的流动性安全。面对市场波动，灵活调整产品杠杆与久期结构，实现产品净值在合理区间内保持相对稳定。基于对后市的判断，产品将继续优选信用资质较好、绝对收益相对较高的信用债、银行存款作为底仓保证产品长期运作收益；同时在风险可控的条件下参与利率债、银行次级债、同业存单等品种的波段交易机会，实现产品收益的稳健增值。</w:t>
      </w:r>
    </w:p>
    <w:p w:rsidR="00751C5A" w:rsidRDefault="00751C5A" w:rsidP="00751C5A">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BB6A27" w:rsidRPr="00751C5A" w:rsidRDefault="00751C5A" w:rsidP="00751C5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B6244E" w:rsidRDefault="00667BD4">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F61274" w:rsidRDefault="00751C5A">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F61274">
        <w:rPr>
          <w:rFonts w:ascii="宋体" w:hAnsi="宋体"/>
          <w:color w:val="000000"/>
          <w:kern w:val="0"/>
          <w:sz w:val="24"/>
          <w:szCs w:val="24"/>
        </w:rPr>
        <w:t>截至报告期末,本产品份额净值为1.0401元。</w:t>
      </w:r>
    </w:p>
    <w:p w:rsidR="00B6244E" w:rsidRDefault="00B6244E">
      <w:pPr>
        <w:spacing w:line="360" w:lineRule="auto"/>
        <w:ind w:firstLineChars="200" w:firstLine="480"/>
        <w:rPr>
          <w:rFonts w:ascii="宋体" w:hAnsi="宋体"/>
          <w:sz w:val="24"/>
          <w:szCs w:val="24"/>
        </w:rPr>
      </w:pPr>
    </w:p>
    <w:p w:rsidR="00B6244E" w:rsidRDefault="00667BD4">
      <w:pPr>
        <w:pStyle w:val="dazhangjie"/>
        <w:rPr>
          <w:color w:val="000000"/>
        </w:rPr>
      </w:pPr>
      <w:r>
        <w:rPr>
          <w:rFonts w:hAnsi="Calibri" w:hint="eastAsia"/>
          <w:b/>
          <w:color w:val="000000"/>
        </w:rPr>
        <w:t>§4  投资组合报告</w:t>
      </w:r>
    </w:p>
    <w:p w:rsidR="00B6244E" w:rsidRDefault="00667BD4">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B6244E">
        <w:tc>
          <w:tcPr>
            <w:tcW w:w="891" w:type="dxa"/>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穿透后占总资产比例</w:t>
            </w:r>
          </w:p>
        </w:tc>
      </w:tr>
      <w:tr w:rsidR="000C0CAE">
        <w:tc>
          <w:tcPr>
            <w:tcW w:w="891" w:type="dxa"/>
            <w:tcBorders>
              <w:top w:val="single" w:sz="8" w:space="0" w:color="000000"/>
              <w:left w:val="single" w:sz="8" w:space="0" w:color="000000"/>
              <w:bottom w:val="single" w:sz="8" w:space="0" w:color="000000"/>
              <w:right w:val="single" w:sz="8" w:space="0" w:color="000000"/>
            </w:tcBorders>
            <w:noWrap/>
            <w:vAlign w:val="bottom"/>
          </w:tcPr>
          <w:p w:rsidR="000C0CAE" w:rsidRDefault="000C0CAE">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100.00%</w:t>
            </w:r>
          </w:p>
        </w:tc>
      </w:tr>
      <w:tr w:rsidR="000C0CAE">
        <w:tc>
          <w:tcPr>
            <w:tcW w:w="891" w:type="dxa"/>
            <w:tcBorders>
              <w:top w:val="single" w:sz="8" w:space="0" w:color="000000"/>
              <w:left w:val="single" w:sz="8" w:space="0" w:color="000000"/>
              <w:bottom w:val="single" w:sz="8" w:space="0" w:color="000000"/>
              <w:right w:val="single" w:sz="8" w:space="0" w:color="000000"/>
            </w:tcBorders>
            <w:noWrap/>
            <w:vAlign w:val="bottom"/>
          </w:tcPr>
          <w:p w:rsidR="000C0CAE" w:rsidRDefault="000C0CAE">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r>
      <w:tr w:rsidR="000C0CAE">
        <w:tc>
          <w:tcPr>
            <w:tcW w:w="891" w:type="dxa"/>
            <w:tcBorders>
              <w:top w:val="single" w:sz="8" w:space="0" w:color="000000"/>
              <w:left w:val="single" w:sz="8" w:space="0" w:color="000000"/>
              <w:bottom w:val="single" w:sz="8" w:space="0" w:color="000000"/>
              <w:right w:val="single" w:sz="8" w:space="0" w:color="000000"/>
            </w:tcBorders>
            <w:noWrap/>
            <w:vAlign w:val="bottom"/>
          </w:tcPr>
          <w:p w:rsidR="000C0CAE" w:rsidRDefault="000C0CAE">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r>
      <w:tr w:rsidR="000C0CAE">
        <w:tc>
          <w:tcPr>
            <w:tcW w:w="891" w:type="dxa"/>
            <w:tcBorders>
              <w:top w:val="single" w:sz="8" w:space="0" w:color="000000"/>
              <w:left w:val="single" w:sz="8" w:space="0" w:color="000000"/>
              <w:bottom w:val="single" w:sz="8" w:space="0" w:color="000000"/>
              <w:right w:val="single" w:sz="8" w:space="0" w:color="000000"/>
            </w:tcBorders>
            <w:noWrap/>
            <w:vAlign w:val="bottom"/>
          </w:tcPr>
          <w:p w:rsidR="000C0CAE" w:rsidRDefault="000C0CAE">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0.00%</w:t>
            </w:r>
          </w:p>
        </w:tc>
      </w:tr>
      <w:tr w:rsidR="000C0CAE">
        <w:tc>
          <w:tcPr>
            <w:tcW w:w="891" w:type="dxa"/>
            <w:tcBorders>
              <w:top w:val="single" w:sz="8" w:space="0" w:color="000000"/>
              <w:left w:val="single" w:sz="8" w:space="0" w:color="000000"/>
              <w:bottom w:val="single" w:sz="8" w:space="0" w:color="000000"/>
              <w:right w:val="single" w:sz="8" w:space="0" w:color="000000"/>
            </w:tcBorders>
            <w:noWrap/>
            <w:vAlign w:val="bottom"/>
          </w:tcPr>
          <w:p w:rsidR="000C0CAE" w:rsidRDefault="000C0CAE">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C0CAE" w:rsidRPr="006D2803" w:rsidRDefault="000C0CAE" w:rsidP="00D24C4B">
            <w:pPr>
              <w:pStyle w:val="biaogecenter"/>
              <w:rPr>
                <w:color w:val="000000"/>
              </w:rPr>
            </w:pPr>
            <w:r w:rsidRPr="006D2803">
              <w:rPr>
                <w:color w:val="000000"/>
              </w:rPr>
              <w:t>100.00%</w:t>
            </w:r>
          </w:p>
        </w:tc>
      </w:tr>
    </w:tbl>
    <w:p w:rsidR="00B6244E" w:rsidRDefault="00B6244E">
      <w:pPr>
        <w:widowControl/>
        <w:jc w:val="left"/>
        <w:rPr>
          <w:rFonts w:ascii="宋体" w:hAnsi="宋体" w:cs="宋体"/>
          <w:color w:val="000000"/>
          <w:kern w:val="0"/>
          <w:sz w:val="24"/>
          <w:szCs w:val="24"/>
        </w:rPr>
      </w:pPr>
      <w:bookmarkStart w:id="1" w:name="_GoBack"/>
      <w:bookmarkEnd w:id="1"/>
    </w:p>
    <w:p w:rsidR="00B6244E" w:rsidRDefault="00667BD4">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B6244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占产品资产净值比例（％）</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ZJQTT2022021</w:t>
            </w:r>
            <w:r w:rsidRPr="00ED73C1">
              <w:rPr>
                <w:rFonts w:hint="eastAsia"/>
                <w:color w:val="000000"/>
              </w:rPr>
              <w:lastRenderedPageBreak/>
              <w:t>60001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lastRenderedPageBreak/>
              <w:t>鑫元基金-鑫安利得57</w:t>
            </w:r>
            <w:r w:rsidRPr="00ED73C1">
              <w:rPr>
                <w:rFonts w:hint="eastAsia"/>
                <w:color w:val="000000"/>
              </w:rPr>
              <w:lastRenderedPageBreak/>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lastRenderedPageBreak/>
              <w:t>297,229,309.66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3.39</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220201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22国开01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200,220,400.00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2.29</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1928013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19民生银行永续债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162,212,320.00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1.85</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166522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20泰交01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140,000,429.17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1.60</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1780417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17金华融盛债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125,210,200.00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1.43</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196463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22萧城01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109,864,700.00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1.25</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101900093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19溧水城建MTN001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102,854,900.00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1.17</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2128025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21建设银行二级01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101,827,400.00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1.16</w:t>
            </w:r>
          </w:p>
        </w:tc>
      </w:tr>
      <w:tr w:rsidR="00ED73C1">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102000856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20镇国投MTN001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101,516,800.00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1.16</w:t>
            </w:r>
          </w:p>
        </w:tc>
      </w:tr>
      <w:tr w:rsidR="00ED73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D73C1" w:rsidRDefault="00ED73C1">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D73C1" w:rsidRPr="00ED73C1" w:rsidRDefault="00ED73C1" w:rsidP="00ED73C1">
            <w:pPr>
              <w:pStyle w:val="biaogecenter"/>
              <w:wordWrap w:val="0"/>
              <w:rPr>
                <w:color w:val="000000"/>
              </w:rPr>
            </w:pPr>
            <w:r w:rsidRPr="00ED73C1">
              <w:rPr>
                <w:rFonts w:hint="eastAsia"/>
                <w:color w:val="000000"/>
              </w:rPr>
              <w:t>032000775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20湘江新区PPN001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101,461,100.00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D73C1" w:rsidRPr="00ED73C1" w:rsidRDefault="00ED73C1" w:rsidP="00ED73C1">
            <w:pPr>
              <w:pStyle w:val="biaogecenter"/>
              <w:wordWrap w:val="0"/>
              <w:rPr>
                <w:color w:val="000000"/>
              </w:rPr>
            </w:pPr>
            <w:r w:rsidRPr="00ED73C1">
              <w:rPr>
                <w:rFonts w:hint="eastAsia"/>
                <w:color w:val="000000"/>
              </w:rPr>
              <w:t>1.16</w:t>
            </w:r>
          </w:p>
        </w:tc>
      </w:tr>
    </w:tbl>
    <w:p w:rsidR="00B6244E" w:rsidRDefault="00B6244E">
      <w:pPr>
        <w:widowControl/>
        <w:jc w:val="left"/>
        <w:rPr>
          <w:rFonts w:ascii="宋体" w:hAnsi="宋体" w:cs="宋体"/>
          <w:b/>
          <w:sz w:val="24"/>
          <w:szCs w:val="24"/>
          <w:shd w:val="clear" w:color="auto" w:fill="FFFFFF"/>
        </w:rPr>
      </w:pPr>
    </w:p>
    <w:p w:rsidR="00B6244E" w:rsidRDefault="00667BD4">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B6244E" w:rsidRDefault="00B6244E">
      <w:pPr>
        <w:widowControl/>
        <w:jc w:val="left"/>
        <w:rPr>
          <w:b/>
          <w:shd w:val="clear" w:color="auto" w:fill="FFFFFF"/>
        </w:rPr>
      </w:pPr>
    </w:p>
    <w:tbl>
      <w:tblPr>
        <w:tblW w:w="0" w:type="auto"/>
        <w:tblInd w:w="108" w:type="dxa"/>
        <w:tblLayout w:type="fixed"/>
        <w:tblLook w:val="04A0"/>
      </w:tblPr>
      <w:tblGrid>
        <w:gridCol w:w="709"/>
        <w:gridCol w:w="1276"/>
        <w:gridCol w:w="1701"/>
        <w:gridCol w:w="1417"/>
        <w:gridCol w:w="1701"/>
        <w:gridCol w:w="1276"/>
        <w:gridCol w:w="851"/>
      </w:tblGrid>
      <w:tr w:rsidR="00B6244E">
        <w:tc>
          <w:tcPr>
            <w:tcW w:w="709"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风险状况</w:t>
            </w:r>
          </w:p>
        </w:tc>
      </w:tr>
      <w:tr w:rsidR="00B6244E">
        <w:tc>
          <w:tcPr>
            <w:tcW w:w="709"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r>
    </w:tbl>
    <w:p w:rsidR="00B6244E" w:rsidRDefault="00B6244E">
      <w:pPr>
        <w:widowControl/>
        <w:jc w:val="left"/>
        <w:rPr>
          <w:rFonts w:ascii="宋体" w:hAnsi="宋体" w:cs="宋体"/>
          <w:color w:val="000000"/>
          <w:kern w:val="0"/>
          <w:sz w:val="24"/>
          <w:szCs w:val="24"/>
        </w:rPr>
      </w:pPr>
    </w:p>
    <w:p w:rsidR="00B6244E" w:rsidRDefault="00667BD4">
      <w:pPr>
        <w:pStyle w:val="dazhangjie"/>
        <w:rPr>
          <w:b/>
          <w:bCs/>
          <w:color w:val="000000"/>
        </w:rPr>
      </w:pPr>
      <w:r>
        <w:rPr>
          <w:rFonts w:hint="eastAsia"/>
          <w:b/>
          <w:bCs/>
          <w:color w:val="000000"/>
        </w:rPr>
        <w:t>§5 投资账户信息</w:t>
      </w:r>
    </w:p>
    <w:tbl>
      <w:tblPr>
        <w:tblW w:w="4943" w:type="pct"/>
        <w:tblInd w:w="102" w:type="dxa"/>
        <w:tblLook w:val="04A0"/>
      </w:tblPr>
      <w:tblGrid>
        <w:gridCol w:w="711"/>
        <w:gridCol w:w="1297"/>
        <w:gridCol w:w="2485"/>
        <w:gridCol w:w="3409"/>
        <w:gridCol w:w="1298"/>
      </w:tblGrid>
      <w:tr w:rsidR="00B6244E">
        <w:trPr>
          <w:trHeight w:val="705"/>
        </w:trPr>
        <w:tc>
          <w:tcPr>
            <w:tcW w:w="367"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rPr>
                <w:shd w:val="clear" w:color="auto" w:fill="FFFFFF"/>
              </w:rPr>
            </w:pPr>
            <w:r>
              <w:rPr>
                <w:rFonts w:hAnsi="Calibri" w:hint="eastAsia"/>
                <w:shd w:val="clear" w:color="auto" w:fill="FFFFFF"/>
              </w:rPr>
              <w:t>序号</w:t>
            </w:r>
          </w:p>
        </w:tc>
        <w:tc>
          <w:tcPr>
            <w:tcW w:w="710"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账户类型</w:t>
            </w:r>
          </w:p>
        </w:tc>
        <w:tc>
          <w:tcPr>
            <w:tcW w:w="1354"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账号</w:t>
            </w:r>
          </w:p>
        </w:tc>
        <w:tc>
          <w:tcPr>
            <w:tcW w:w="1856"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账户名称</w:t>
            </w:r>
          </w:p>
        </w:tc>
        <w:tc>
          <w:tcPr>
            <w:tcW w:w="710"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开户单位</w:t>
            </w:r>
          </w:p>
        </w:tc>
      </w:tr>
      <w:tr w:rsidR="00B6244E">
        <w:trPr>
          <w:trHeight w:val="364"/>
        </w:trPr>
        <w:tc>
          <w:tcPr>
            <w:tcW w:w="367"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1</w:t>
            </w:r>
          </w:p>
        </w:tc>
        <w:tc>
          <w:tcPr>
            <w:tcW w:w="710" w:type="pct"/>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wordWrap w:val="0"/>
              <w:rPr>
                <w:shd w:val="clear" w:color="auto" w:fill="FFFFFF"/>
              </w:rPr>
            </w:pPr>
            <w:r>
              <w:rPr>
                <w:shd w:val="clear" w:color="auto" w:fill="FFFFFF"/>
              </w:rPr>
              <w:t>托管账户</w:t>
            </w:r>
          </w:p>
        </w:tc>
        <w:tc>
          <w:tcPr>
            <w:tcW w:w="1354"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01640124840000194</w:t>
            </w:r>
          </w:p>
        </w:tc>
        <w:tc>
          <w:tcPr>
            <w:tcW w:w="1856"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南京银行珠联璧合理财计划</w:t>
            </w:r>
          </w:p>
        </w:tc>
        <w:tc>
          <w:tcPr>
            <w:tcW w:w="710"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南京银行</w:t>
            </w:r>
          </w:p>
        </w:tc>
      </w:tr>
    </w:tbl>
    <w:p w:rsidR="00B6244E" w:rsidRDefault="00B6244E">
      <w:pPr>
        <w:pStyle w:val="dazhangjie"/>
        <w:rPr>
          <w:b/>
          <w:bCs/>
          <w:color w:val="000000"/>
        </w:rPr>
      </w:pPr>
    </w:p>
    <w:p w:rsidR="008E6B5A" w:rsidRDefault="008E6B5A" w:rsidP="008E6B5A">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50,012,054.79</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119,277,780.82</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hAnsi="宋体"/>
          <w:sz w:val="24"/>
        </w:rPr>
        <w:t>500,000,000.00</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5D4979">
        <w:rPr>
          <w:rFonts w:ascii="宋体" w:hAnsi="宋体" w:hint="eastAsia"/>
          <w:sz w:val="24"/>
        </w:rPr>
        <w:t>应</w:t>
      </w:r>
      <w:r>
        <w:rPr>
          <w:rFonts w:ascii="宋体" w:hAnsi="宋体" w:hint="eastAsia"/>
          <w:sz w:val="24"/>
        </w:rPr>
        <w:t>支付关联方托管费</w:t>
      </w:r>
      <w:r>
        <w:rPr>
          <w:rFonts w:ascii="宋体" w:hAnsi="宋体"/>
          <w:sz w:val="24"/>
        </w:rPr>
        <w:t>413,118.71</w:t>
      </w:r>
      <w:r>
        <w:rPr>
          <w:rFonts w:ascii="宋体" w:hAnsi="宋体" w:hint="eastAsia"/>
          <w:sz w:val="24"/>
        </w:rPr>
        <w:t>元，</w:t>
      </w:r>
      <w:r w:rsidR="005D4979">
        <w:rPr>
          <w:rFonts w:ascii="宋体" w:hAnsi="宋体" w:hint="eastAsia"/>
          <w:sz w:val="24"/>
        </w:rPr>
        <w:t>应</w:t>
      </w:r>
      <w:r>
        <w:rPr>
          <w:rFonts w:ascii="宋体" w:hAnsi="宋体" w:hint="eastAsia"/>
          <w:sz w:val="24"/>
        </w:rPr>
        <w:t>支付关联方代销费</w:t>
      </w:r>
      <w:r>
        <w:rPr>
          <w:rFonts w:ascii="宋体" w:hAnsi="宋体"/>
          <w:sz w:val="24"/>
        </w:rPr>
        <w:t>4,069,504.35</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8E6B5A" w:rsidRDefault="008E6B5A" w:rsidP="008E6B5A">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lastRenderedPageBreak/>
        <w:t>报告期内，产品未发生重大关联交易。</w:t>
      </w:r>
    </w:p>
    <w:p w:rsidR="00B6244E" w:rsidRPr="008E6B5A" w:rsidRDefault="00B6244E">
      <w:pPr>
        <w:widowControl/>
        <w:jc w:val="left"/>
        <w:rPr>
          <w:color w:val="000000"/>
        </w:rPr>
      </w:pPr>
    </w:p>
    <w:p w:rsidR="00B6244E" w:rsidRDefault="00667BD4">
      <w:pPr>
        <w:pStyle w:val="biaogeright"/>
        <w:rPr>
          <w:rFonts w:hAnsi="Calibri"/>
          <w:b/>
          <w:bCs/>
          <w:color w:val="000000"/>
        </w:rPr>
      </w:pPr>
      <w:r>
        <w:rPr>
          <w:rFonts w:hAnsi="Calibri" w:hint="eastAsia"/>
          <w:b/>
          <w:bCs/>
          <w:color w:val="000000"/>
        </w:rPr>
        <w:t>南银理财有限责任公司</w:t>
      </w:r>
    </w:p>
    <w:p w:rsidR="00B6244E" w:rsidRDefault="00F61274" w:rsidP="00F61274">
      <w:pPr>
        <w:pStyle w:val="biaogeright"/>
        <w:rPr>
          <w:rFonts w:hAnsi="Calibri"/>
          <w:b/>
          <w:bCs/>
          <w:color w:val="000000"/>
        </w:rPr>
      </w:pPr>
      <w:r>
        <w:rPr>
          <w:rFonts w:hAnsi="Calibri" w:hint="eastAsia"/>
          <w:b/>
          <w:bCs/>
          <w:color w:val="000000"/>
        </w:rPr>
        <w:t>2022年9月30日</w:t>
      </w:r>
    </w:p>
    <w:sectPr w:rsidR="00B6244E" w:rsidSect="00B6244E">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5B7" w:rsidRDefault="008725B7" w:rsidP="00B6244E">
      <w:r>
        <w:separator/>
      </w:r>
    </w:p>
  </w:endnote>
  <w:endnote w:type="continuationSeparator" w:id="1">
    <w:p w:rsidR="008725B7" w:rsidRDefault="008725B7" w:rsidP="00B62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690161">
    <w:pPr>
      <w:pStyle w:val="a4"/>
      <w:framePr w:wrap="around" w:vAnchor="text" w:hAnchor="margin" w:xAlign="center" w:y="1"/>
      <w:rPr>
        <w:rStyle w:val="a8"/>
      </w:rPr>
    </w:pPr>
    <w:r>
      <w:fldChar w:fldCharType="begin"/>
    </w:r>
    <w:r w:rsidR="00667BD4">
      <w:rPr>
        <w:rStyle w:val="a8"/>
      </w:rPr>
      <w:instrText xml:space="preserve">PAGE  </w:instrText>
    </w:r>
    <w:r>
      <w:fldChar w:fldCharType="end"/>
    </w:r>
  </w:p>
  <w:p w:rsidR="00B6244E" w:rsidRDefault="00B6244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B6244E">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5B7" w:rsidRDefault="008725B7" w:rsidP="00B6244E">
      <w:r>
        <w:separator/>
      </w:r>
    </w:p>
  </w:footnote>
  <w:footnote w:type="continuationSeparator" w:id="1">
    <w:p w:rsidR="008725B7" w:rsidRDefault="008725B7" w:rsidP="00B624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667BD4">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4338"/>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3093FBC"/>
    <w:rsid w:val="00000109"/>
    <w:rsid w:val="000060E5"/>
    <w:rsid w:val="000102DF"/>
    <w:rsid w:val="00030F14"/>
    <w:rsid w:val="00031AE6"/>
    <w:rsid w:val="00034FF6"/>
    <w:rsid w:val="00037491"/>
    <w:rsid w:val="00044BFF"/>
    <w:rsid w:val="0005474A"/>
    <w:rsid w:val="00061725"/>
    <w:rsid w:val="00067886"/>
    <w:rsid w:val="00086C62"/>
    <w:rsid w:val="00093286"/>
    <w:rsid w:val="000A07E0"/>
    <w:rsid w:val="000A15F0"/>
    <w:rsid w:val="000A1F8E"/>
    <w:rsid w:val="000B285B"/>
    <w:rsid w:val="000C0CAE"/>
    <w:rsid w:val="000C44EE"/>
    <w:rsid w:val="000D5066"/>
    <w:rsid w:val="000D5F8E"/>
    <w:rsid w:val="000F6191"/>
    <w:rsid w:val="000F6CC0"/>
    <w:rsid w:val="0010610C"/>
    <w:rsid w:val="00110E09"/>
    <w:rsid w:val="00130CE8"/>
    <w:rsid w:val="00145A17"/>
    <w:rsid w:val="00152201"/>
    <w:rsid w:val="001612DF"/>
    <w:rsid w:val="0016590B"/>
    <w:rsid w:val="00176636"/>
    <w:rsid w:val="00182C9B"/>
    <w:rsid w:val="00183C84"/>
    <w:rsid w:val="001938DD"/>
    <w:rsid w:val="00197DDD"/>
    <w:rsid w:val="001A0B70"/>
    <w:rsid w:val="001A339C"/>
    <w:rsid w:val="001A540D"/>
    <w:rsid w:val="001C05F9"/>
    <w:rsid w:val="001C5395"/>
    <w:rsid w:val="001D5A30"/>
    <w:rsid w:val="001D72A9"/>
    <w:rsid w:val="001E756A"/>
    <w:rsid w:val="001F4650"/>
    <w:rsid w:val="001F5321"/>
    <w:rsid w:val="002114A7"/>
    <w:rsid w:val="00211F26"/>
    <w:rsid w:val="002263FC"/>
    <w:rsid w:val="00231AC2"/>
    <w:rsid w:val="0023550F"/>
    <w:rsid w:val="00240350"/>
    <w:rsid w:val="0024254D"/>
    <w:rsid w:val="00251657"/>
    <w:rsid w:val="0026513C"/>
    <w:rsid w:val="002813D0"/>
    <w:rsid w:val="002900B6"/>
    <w:rsid w:val="00290D0E"/>
    <w:rsid w:val="00290DD2"/>
    <w:rsid w:val="0029110D"/>
    <w:rsid w:val="002A01E0"/>
    <w:rsid w:val="002A1C45"/>
    <w:rsid w:val="002A3AE9"/>
    <w:rsid w:val="002A7E7E"/>
    <w:rsid w:val="002B2C71"/>
    <w:rsid w:val="002B36BD"/>
    <w:rsid w:val="002C196E"/>
    <w:rsid w:val="002D0620"/>
    <w:rsid w:val="002D75D0"/>
    <w:rsid w:val="002E766F"/>
    <w:rsid w:val="002E795C"/>
    <w:rsid w:val="002F3AEA"/>
    <w:rsid w:val="002F76D6"/>
    <w:rsid w:val="0030002B"/>
    <w:rsid w:val="0030118D"/>
    <w:rsid w:val="003016B4"/>
    <w:rsid w:val="00321CB7"/>
    <w:rsid w:val="00336DF9"/>
    <w:rsid w:val="003379A9"/>
    <w:rsid w:val="00347110"/>
    <w:rsid w:val="00350ADF"/>
    <w:rsid w:val="00352CFE"/>
    <w:rsid w:val="00355623"/>
    <w:rsid w:val="00363F78"/>
    <w:rsid w:val="003670BC"/>
    <w:rsid w:val="00373526"/>
    <w:rsid w:val="003846B3"/>
    <w:rsid w:val="003862AF"/>
    <w:rsid w:val="003867E5"/>
    <w:rsid w:val="003935A1"/>
    <w:rsid w:val="00396A50"/>
    <w:rsid w:val="003A0419"/>
    <w:rsid w:val="003B5524"/>
    <w:rsid w:val="003B73EB"/>
    <w:rsid w:val="003C2E6D"/>
    <w:rsid w:val="003E09EA"/>
    <w:rsid w:val="003F0AC3"/>
    <w:rsid w:val="004035EA"/>
    <w:rsid w:val="00406734"/>
    <w:rsid w:val="004135D0"/>
    <w:rsid w:val="00425567"/>
    <w:rsid w:val="00426B51"/>
    <w:rsid w:val="00434398"/>
    <w:rsid w:val="004432ED"/>
    <w:rsid w:val="00456251"/>
    <w:rsid w:val="00462877"/>
    <w:rsid w:val="00466076"/>
    <w:rsid w:val="00487993"/>
    <w:rsid w:val="00487AA2"/>
    <w:rsid w:val="004A5D8E"/>
    <w:rsid w:val="004A63B7"/>
    <w:rsid w:val="004B1214"/>
    <w:rsid w:val="004C1607"/>
    <w:rsid w:val="004E0C32"/>
    <w:rsid w:val="004E1093"/>
    <w:rsid w:val="005069D8"/>
    <w:rsid w:val="00526A09"/>
    <w:rsid w:val="0054267A"/>
    <w:rsid w:val="00545F71"/>
    <w:rsid w:val="00551558"/>
    <w:rsid w:val="00553F2B"/>
    <w:rsid w:val="00561127"/>
    <w:rsid w:val="0056162E"/>
    <w:rsid w:val="00567DB3"/>
    <w:rsid w:val="0057021C"/>
    <w:rsid w:val="0058045F"/>
    <w:rsid w:val="00586A85"/>
    <w:rsid w:val="005B3434"/>
    <w:rsid w:val="005C5EB6"/>
    <w:rsid w:val="005D4979"/>
    <w:rsid w:val="005D5B56"/>
    <w:rsid w:val="005E775A"/>
    <w:rsid w:val="005F2C7B"/>
    <w:rsid w:val="005F4D04"/>
    <w:rsid w:val="006025B4"/>
    <w:rsid w:val="006054F8"/>
    <w:rsid w:val="0061061C"/>
    <w:rsid w:val="00613AF8"/>
    <w:rsid w:val="0062696F"/>
    <w:rsid w:val="006354B8"/>
    <w:rsid w:val="00644987"/>
    <w:rsid w:val="006531FD"/>
    <w:rsid w:val="0065419A"/>
    <w:rsid w:val="00654220"/>
    <w:rsid w:val="00663366"/>
    <w:rsid w:val="00663B94"/>
    <w:rsid w:val="00666CD2"/>
    <w:rsid w:val="00667BD4"/>
    <w:rsid w:val="00677F66"/>
    <w:rsid w:val="00684926"/>
    <w:rsid w:val="00690161"/>
    <w:rsid w:val="00692881"/>
    <w:rsid w:val="006A536B"/>
    <w:rsid w:val="006B7A7C"/>
    <w:rsid w:val="006C3B02"/>
    <w:rsid w:val="006D2006"/>
    <w:rsid w:val="006D4071"/>
    <w:rsid w:val="006E0D41"/>
    <w:rsid w:val="006E4E94"/>
    <w:rsid w:val="006F7C4D"/>
    <w:rsid w:val="007018C4"/>
    <w:rsid w:val="00703445"/>
    <w:rsid w:val="007113CF"/>
    <w:rsid w:val="00714758"/>
    <w:rsid w:val="00730BEE"/>
    <w:rsid w:val="0073101E"/>
    <w:rsid w:val="00735153"/>
    <w:rsid w:val="00741092"/>
    <w:rsid w:val="00745421"/>
    <w:rsid w:val="00746812"/>
    <w:rsid w:val="00751C5A"/>
    <w:rsid w:val="007654F9"/>
    <w:rsid w:val="00766DD5"/>
    <w:rsid w:val="007A4219"/>
    <w:rsid w:val="007A6DDB"/>
    <w:rsid w:val="007C422D"/>
    <w:rsid w:val="007C6841"/>
    <w:rsid w:val="007D0048"/>
    <w:rsid w:val="007E2E92"/>
    <w:rsid w:val="007E40DE"/>
    <w:rsid w:val="007F5739"/>
    <w:rsid w:val="0080200C"/>
    <w:rsid w:val="008036C2"/>
    <w:rsid w:val="00814110"/>
    <w:rsid w:val="0082561A"/>
    <w:rsid w:val="00831B46"/>
    <w:rsid w:val="0083389E"/>
    <w:rsid w:val="00846B2E"/>
    <w:rsid w:val="008517A9"/>
    <w:rsid w:val="00855380"/>
    <w:rsid w:val="00861D58"/>
    <w:rsid w:val="00867D14"/>
    <w:rsid w:val="008725B7"/>
    <w:rsid w:val="00872F6C"/>
    <w:rsid w:val="0088632D"/>
    <w:rsid w:val="00890186"/>
    <w:rsid w:val="008926F7"/>
    <w:rsid w:val="0089287C"/>
    <w:rsid w:val="00894164"/>
    <w:rsid w:val="00894C0B"/>
    <w:rsid w:val="008A7510"/>
    <w:rsid w:val="008B1EB1"/>
    <w:rsid w:val="008B672F"/>
    <w:rsid w:val="008C545D"/>
    <w:rsid w:val="008C68AE"/>
    <w:rsid w:val="008C78BD"/>
    <w:rsid w:val="008E165F"/>
    <w:rsid w:val="008E3B3F"/>
    <w:rsid w:val="008E5CC6"/>
    <w:rsid w:val="008E6B5A"/>
    <w:rsid w:val="008F0C19"/>
    <w:rsid w:val="008F342A"/>
    <w:rsid w:val="00900D90"/>
    <w:rsid w:val="00906080"/>
    <w:rsid w:val="00916D74"/>
    <w:rsid w:val="00920DB6"/>
    <w:rsid w:val="009354D6"/>
    <w:rsid w:val="009430C2"/>
    <w:rsid w:val="009448F9"/>
    <w:rsid w:val="00964838"/>
    <w:rsid w:val="00970A98"/>
    <w:rsid w:val="00970F7B"/>
    <w:rsid w:val="00981ECB"/>
    <w:rsid w:val="00983B6A"/>
    <w:rsid w:val="009964B2"/>
    <w:rsid w:val="009B4244"/>
    <w:rsid w:val="009C781F"/>
    <w:rsid w:val="009D00E6"/>
    <w:rsid w:val="009D3E39"/>
    <w:rsid w:val="009E6170"/>
    <w:rsid w:val="009F79AD"/>
    <w:rsid w:val="00A4484F"/>
    <w:rsid w:val="00A60E33"/>
    <w:rsid w:val="00A6112A"/>
    <w:rsid w:val="00A76D4B"/>
    <w:rsid w:val="00A77C47"/>
    <w:rsid w:val="00A8739F"/>
    <w:rsid w:val="00A9119C"/>
    <w:rsid w:val="00AA2969"/>
    <w:rsid w:val="00AA4549"/>
    <w:rsid w:val="00AB0A11"/>
    <w:rsid w:val="00AB0CFC"/>
    <w:rsid w:val="00AB6691"/>
    <w:rsid w:val="00AC1E72"/>
    <w:rsid w:val="00AC5144"/>
    <w:rsid w:val="00AD2509"/>
    <w:rsid w:val="00AD3F7A"/>
    <w:rsid w:val="00AD6FA5"/>
    <w:rsid w:val="00AD77C5"/>
    <w:rsid w:val="00AE0098"/>
    <w:rsid w:val="00AE519B"/>
    <w:rsid w:val="00AF508E"/>
    <w:rsid w:val="00AF6377"/>
    <w:rsid w:val="00B05543"/>
    <w:rsid w:val="00B13014"/>
    <w:rsid w:val="00B21B25"/>
    <w:rsid w:val="00B25C4D"/>
    <w:rsid w:val="00B33B19"/>
    <w:rsid w:val="00B404E6"/>
    <w:rsid w:val="00B4360D"/>
    <w:rsid w:val="00B43E17"/>
    <w:rsid w:val="00B54409"/>
    <w:rsid w:val="00B6244E"/>
    <w:rsid w:val="00B67966"/>
    <w:rsid w:val="00B74DCA"/>
    <w:rsid w:val="00B82278"/>
    <w:rsid w:val="00B82593"/>
    <w:rsid w:val="00B908BB"/>
    <w:rsid w:val="00B96D3F"/>
    <w:rsid w:val="00BA2F89"/>
    <w:rsid w:val="00BB6A27"/>
    <w:rsid w:val="00BC3903"/>
    <w:rsid w:val="00BD7297"/>
    <w:rsid w:val="00BE196A"/>
    <w:rsid w:val="00BE47E0"/>
    <w:rsid w:val="00BF3300"/>
    <w:rsid w:val="00BF75C8"/>
    <w:rsid w:val="00C14C6B"/>
    <w:rsid w:val="00C1762E"/>
    <w:rsid w:val="00C21B37"/>
    <w:rsid w:val="00C30A48"/>
    <w:rsid w:val="00C35FA6"/>
    <w:rsid w:val="00C428DF"/>
    <w:rsid w:val="00C43741"/>
    <w:rsid w:val="00C457B8"/>
    <w:rsid w:val="00C52586"/>
    <w:rsid w:val="00C52E56"/>
    <w:rsid w:val="00C57B86"/>
    <w:rsid w:val="00C640FB"/>
    <w:rsid w:val="00C65651"/>
    <w:rsid w:val="00CA1BF1"/>
    <w:rsid w:val="00CB054E"/>
    <w:rsid w:val="00CC232E"/>
    <w:rsid w:val="00CC29AF"/>
    <w:rsid w:val="00CC52D7"/>
    <w:rsid w:val="00CD1D4C"/>
    <w:rsid w:val="00CF6C89"/>
    <w:rsid w:val="00D0449D"/>
    <w:rsid w:val="00D06764"/>
    <w:rsid w:val="00D12201"/>
    <w:rsid w:val="00D2360B"/>
    <w:rsid w:val="00D23AB6"/>
    <w:rsid w:val="00D50309"/>
    <w:rsid w:val="00D51AA9"/>
    <w:rsid w:val="00D60DB3"/>
    <w:rsid w:val="00D7264A"/>
    <w:rsid w:val="00D84E43"/>
    <w:rsid w:val="00DA4BE9"/>
    <w:rsid w:val="00DB0C2F"/>
    <w:rsid w:val="00DB3BF6"/>
    <w:rsid w:val="00DC31CC"/>
    <w:rsid w:val="00DC728A"/>
    <w:rsid w:val="00DD2E38"/>
    <w:rsid w:val="00DD51B6"/>
    <w:rsid w:val="00DD597C"/>
    <w:rsid w:val="00DE67E4"/>
    <w:rsid w:val="00E00594"/>
    <w:rsid w:val="00E01920"/>
    <w:rsid w:val="00E155DF"/>
    <w:rsid w:val="00E41B5E"/>
    <w:rsid w:val="00E623AB"/>
    <w:rsid w:val="00E81EDF"/>
    <w:rsid w:val="00E8213B"/>
    <w:rsid w:val="00E9797A"/>
    <w:rsid w:val="00E97A04"/>
    <w:rsid w:val="00EA5D3D"/>
    <w:rsid w:val="00EB0FBF"/>
    <w:rsid w:val="00EB6C63"/>
    <w:rsid w:val="00EC4DE1"/>
    <w:rsid w:val="00EC5E2C"/>
    <w:rsid w:val="00ED1C87"/>
    <w:rsid w:val="00ED4001"/>
    <w:rsid w:val="00ED4637"/>
    <w:rsid w:val="00ED73C1"/>
    <w:rsid w:val="00EE0436"/>
    <w:rsid w:val="00EE368A"/>
    <w:rsid w:val="00EE7C80"/>
    <w:rsid w:val="00F03382"/>
    <w:rsid w:val="00F23ED2"/>
    <w:rsid w:val="00F41324"/>
    <w:rsid w:val="00F42715"/>
    <w:rsid w:val="00F609FD"/>
    <w:rsid w:val="00F61274"/>
    <w:rsid w:val="00F66874"/>
    <w:rsid w:val="00F81345"/>
    <w:rsid w:val="00F859AB"/>
    <w:rsid w:val="00F939D0"/>
    <w:rsid w:val="00F950D0"/>
    <w:rsid w:val="00F96E2E"/>
    <w:rsid w:val="00FA2C26"/>
    <w:rsid w:val="00FA650F"/>
    <w:rsid w:val="00FB5D47"/>
    <w:rsid w:val="00FB6E8E"/>
    <w:rsid w:val="00FB712E"/>
    <w:rsid w:val="022C2410"/>
    <w:rsid w:val="026D0131"/>
    <w:rsid w:val="035B1EEB"/>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53344A"/>
    <w:rsid w:val="1AA87F19"/>
    <w:rsid w:val="1B363C6A"/>
    <w:rsid w:val="1B8A5B02"/>
    <w:rsid w:val="1BE4237E"/>
    <w:rsid w:val="1DD376B7"/>
    <w:rsid w:val="1E911FB2"/>
    <w:rsid w:val="206D37DF"/>
    <w:rsid w:val="233002B5"/>
    <w:rsid w:val="236036FD"/>
    <w:rsid w:val="23A05440"/>
    <w:rsid w:val="23C50556"/>
    <w:rsid w:val="24960C0F"/>
    <w:rsid w:val="277874DD"/>
    <w:rsid w:val="2933258B"/>
    <w:rsid w:val="298E16C7"/>
    <w:rsid w:val="2B7C5C81"/>
    <w:rsid w:val="2E162202"/>
    <w:rsid w:val="2F132635"/>
    <w:rsid w:val="30077F05"/>
    <w:rsid w:val="3121340F"/>
    <w:rsid w:val="317A07B0"/>
    <w:rsid w:val="336668FA"/>
    <w:rsid w:val="36316B15"/>
    <w:rsid w:val="368076E6"/>
    <w:rsid w:val="388D7049"/>
    <w:rsid w:val="3A5E67F0"/>
    <w:rsid w:val="3AF80478"/>
    <w:rsid w:val="3C0E0AC1"/>
    <w:rsid w:val="3DE33F68"/>
    <w:rsid w:val="3FB22C0A"/>
    <w:rsid w:val="40447AAF"/>
    <w:rsid w:val="40897464"/>
    <w:rsid w:val="40E1302A"/>
    <w:rsid w:val="42BE08E7"/>
    <w:rsid w:val="43093FBC"/>
    <w:rsid w:val="433A3D7A"/>
    <w:rsid w:val="43A019F4"/>
    <w:rsid w:val="46A13001"/>
    <w:rsid w:val="4A9A51B9"/>
    <w:rsid w:val="4CA37010"/>
    <w:rsid w:val="4DEC7E75"/>
    <w:rsid w:val="4E276A76"/>
    <w:rsid w:val="4F8709AB"/>
    <w:rsid w:val="50C47F64"/>
    <w:rsid w:val="53300D28"/>
    <w:rsid w:val="55CC3E04"/>
    <w:rsid w:val="55E57CB6"/>
    <w:rsid w:val="564B4BD9"/>
    <w:rsid w:val="56696C12"/>
    <w:rsid w:val="57AD6E41"/>
    <w:rsid w:val="580B5AEB"/>
    <w:rsid w:val="5902768A"/>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D36154A"/>
    <w:rsid w:val="7D8E47C1"/>
    <w:rsid w:val="7E3D508D"/>
    <w:rsid w:val="7E526C62"/>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44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6244E"/>
    <w:rPr>
      <w:sz w:val="18"/>
      <w:szCs w:val="18"/>
      <w:lang/>
    </w:rPr>
  </w:style>
  <w:style w:type="paragraph" w:styleId="a4">
    <w:name w:val="footer"/>
    <w:basedOn w:val="a"/>
    <w:link w:val="Char0"/>
    <w:uiPriority w:val="99"/>
    <w:unhideWhenUsed/>
    <w:qFormat/>
    <w:rsid w:val="00B6244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B6244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B6244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B624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B6244E"/>
  </w:style>
  <w:style w:type="paragraph" w:customStyle="1" w:styleId="zhongyaotishi">
    <w:name w:val="zhongyaotishi"/>
    <w:basedOn w:val="a"/>
    <w:qFormat/>
    <w:rsid w:val="00B6244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B6244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B6244E"/>
    <w:pPr>
      <w:widowControl w:val="0"/>
      <w:jc w:val="center"/>
    </w:pPr>
    <w:rPr>
      <w:kern w:val="2"/>
      <w:sz w:val="33"/>
      <w:szCs w:val="22"/>
    </w:rPr>
  </w:style>
  <w:style w:type="paragraph" w:customStyle="1" w:styleId="neirong">
    <w:name w:val="neirong"/>
    <w:basedOn w:val="a"/>
    <w:qFormat/>
    <w:rsid w:val="00B6244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B6244E"/>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6244E"/>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B6244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B6244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B6244E"/>
    <w:pPr>
      <w:widowControl w:val="0"/>
    </w:pPr>
    <w:rPr>
      <w:kern w:val="2"/>
      <w:sz w:val="21"/>
      <w:szCs w:val="22"/>
    </w:rPr>
  </w:style>
  <w:style w:type="paragraph" w:customStyle="1" w:styleId="biaogecenter">
    <w:name w:val="biaoge_center"/>
    <w:basedOn w:val="a"/>
    <w:qFormat/>
    <w:rsid w:val="00B6244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rsid w:val="00B6244E"/>
    <w:pPr>
      <w:jc w:val="both"/>
    </w:pPr>
    <w:rPr>
      <w:kern w:val="2"/>
      <w:sz w:val="21"/>
      <w:szCs w:val="21"/>
    </w:rPr>
  </w:style>
  <w:style w:type="paragraph" w:customStyle="1" w:styleId="biaogeright1">
    <w:name w:val="biaoge_right1"/>
    <w:basedOn w:val="a"/>
    <w:qFormat/>
    <w:rsid w:val="00B6244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6244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B6244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B6244E"/>
    <w:rPr>
      <w:kern w:val="2"/>
      <w:sz w:val="18"/>
      <w:szCs w:val="18"/>
    </w:rPr>
  </w:style>
  <w:style w:type="character" w:customStyle="1" w:styleId="Char0">
    <w:name w:val="页脚 Char"/>
    <w:link w:val="a4"/>
    <w:uiPriority w:val="99"/>
    <w:semiHidden/>
    <w:qFormat/>
    <w:locked/>
    <w:rsid w:val="00B6244E"/>
    <w:rPr>
      <w:rFonts w:ascii="Times New Roman" w:hAnsi="Times New Roman" w:cs="Times New Roman" w:hint="default"/>
      <w:sz w:val="18"/>
      <w:szCs w:val="18"/>
    </w:rPr>
  </w:style>
  <w:style w:type="character" w:customStyle="1" w:styleId="Char1">
    <w:name w:val="页眉 Char"/>
    <w:link w:val="a5"/>
    <w:uiPriority w:val="99"/>
    <w:semiHidden/>
    <w:locked/>
    <w:rsid w:val="00B6244E"/>
    <w:rPr>
      <w:rFonts w:ascii="Times New Roman" w:hAnsi="Times New Roman" w:cs="Times New Roman" w:hint="default"/>
      <w:sz w:val="18"/>
      <w:szCs w:val="18"/>
    </w:rPr>
  </w:style>
  <w:style w:type="table" w:customStyle="1" w:styleId="dqbgxx">
    <w:name w:val="dqbgxx"/>
    <w:basedOn w:val="a1"/>
    <w:qFormat/>
    <w:rsid w:val="00B6244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B6244E"/>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B6244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51</cp:revision>
  <dcterms:created xsi:type="dcterms:W3CDTF">2021-06-30T07:28:00Z</dcterms:created>
  <dcterms:modified xsi:type="dcterms:W3CDTF">2022-10-20T08:01:00Z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