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F63" w:rsidRDefault="00300F63">
      <w:pPr>
        <w:pStyle w:val="dazhangjie"/>
        <w:ind w:left="0"/>
        <w:jc w:val="both"/>
        <w:rPr>
          <w:b/>
          <w:bCs/>
          <w:color w:val="000000"/>
        </w:rPr>
      </w:pPr>
    </w:p>
    <w:p w:rsidR="00300F63" w:rsidRDefault="00300F63">
      <w:pPr>
        <w:pStyle w:val="dazhangjie"/>
        <w:ind w:left="0"/>
        <w:jc w:val="both"/>
        <w:rPr>
          <w:b/>
          <w:bCs/>
          <w:color w:val="000000"/>
        </w:rPr>
      </w:pPr>
    </w:p>
    <w:p w:rsidR="00300F63" w:rsidRDefault="00300F63">
      <w:pPr>
        <w:pStyle w:val="dazhangjie"/>
        <w:ind w:left="0"/>
        <w:jc w:val="both"/>
        <w:rPr>
          <w:b/>
          <w:bCs/>
          <w:color w:val="000000"/>
        </w:rPr>
      </w:pPr>
    </w:p>
    <w:p w:rsidR="00300F63" w:rsidRDefault="00D71AA1">
      <w:pPr>
        <w:pStyle w:val="dazhangjie"/>
        <w:spacing w:before="240" w:after="120"/>
        <w:rPr>
          <w:rFonts w:ascii="黑体" w:eastAsia="黑体"/>
          <w:b/>
          <w:bCs/>
          <w:color w:val="000000"/>
          <w:sz w:val="36"/>
        </w:rPr>
      </w:pPr>
      <w:r>
        <w:rPr>
          <w:rFonts w:ascii="黑体" w:eastAsia="黑体" w:hint="eastAsia"/>
          <w:b/>
          <w:bCs/>
          <w:color w:val="000000"/>
          <w:sz w:val="36"/>
        </w:rPr>
        <w:t>南银理财珠联璧合鑫悦享1912三个月定开公募人民币理财产品</w:t>
      </w:r>
    </w:p>
    <w:p w:rsidR="00300F63" w:rsidRDefault="00BA51EB">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300F63" w:rsidRDefault="00300F63">
      <w:pPr>
        <w:pStyle w:val="dazhangjie"/>
        <w:spacing w:before="240" w:after="120"/>
        <w:rPr>
          <w:rFonts w:ascii="黑体" w:eastAsia="黑体" w:hAnsi="黑体"/>
          <w:b/>
          <w:bCs/>
          <w:color w:val="000000"/>
          <w:sz w:val="36"/>
        </w:rPr>
      </w:pPr>
    </w:p>
    <w:p w:rsidR="00300F63" w:rsidRDefault="00300F63">
      <w:pPr>
        <w:pStyle w:val="dazhangjie"/>
        <w:spacing w:before="240" w:after="120"/>
        <w:rPr>
          <w:rFonts w:ascii="黑体" w:eastAsia="黑体" w:hAnsi="黑体"/>
          <w:b/>
          <w:bCs/>
          <w:color w:val="000000"/>
          <w:sz w:val="36"/>
        </w:rPr>
      </w:pPr>
    </w:p>
    <w:p w:rsidR="00300F63" w:rsidRDefault="00300F63">
      <w:pPr>
        <w:pStyle w:val="dazhangjie"/>
        <w:spacing w:before="240" w:after="120"/>
        <w:rPr>
          <w:rFonts w:ascii="黑体" w:eastAsia="黑体" w:hAnsi="黑体"/>
          <w:b/>
          <w:bCs/>
          <w:color w:val="000000"/>
          <w:sz w:val="36"/>
        </w:rPr>
      </w:pPr>
    </w:p>
    <w:p w:rsidR="00300F63" w:rsidRDefault="00300F63">
      <w:pPr>
        <w:pStyle w:val="dazhangjie"/>
        <w:spacing w:before="240" w:after="120"/>
        <w:ind w:left="0"/>
        <w:jc w:val="both"/>
        <w:rPr>
          <w:rFonts w:ascii="黑体" w:eastAsia="黑体" w:hAnsi="黑体"/>
          <w:b/>
          <w:bCs/>
          <w:color w:val="000000"/>
          <w:sz w:val="36"/>
        </w:rPr>
      </w:pPr>
    </w:p>
    <w:p w:rsidR="00300F63" w:rsidRDefault="00D71AA1">
      <w:pPr>
        <w:pStyle w:val="dazhangjie"/>
        <w:spacing w:before="240" w:after="120"/>
        <w:rPr>
          <w:b/>
          <w:bCs/>
          <w:color w:val="000000"/>
        </w:rPr>
      </w:pPr>
      <w:r>
        <w:rPr>
          <w:rFonts w:hint="eastAsia"/>
          <w:b/>
          <w:bCs/>
          <w:color w:val="000000"/>
        </w:rPr>
        <w:t>产品</w:t>
      </w:r>
      <w:r>
        <w:rPr>
          <w:b/>
          <w:bCs/>
          <w:color w:val="000000"/>
        </w:rPr>
        <w:t>管理人:南银理财有限责任公司</w:t>
      </w:r>
    </w:p>
    <w:p w:rsidR="00300F63" w:rsidRDefault="00D71AA1">
      <w:pPr>
        <w:pStyle w:val="dazhangjie"/>
        <w:spacing w:before="240" w:after="120"/>
        <w:rPr>
          <w:b/>
          <w:bCs/>
          <w:color w:val="000000"/>
        </w:rPr>
      </w:pPr>
      <w:r>
        <w:rPr>
          <w:rFonts w:hint="eastAsia"/>
          <w:b/>
          <w:bCs/>
          <w:color w:val="000000"/>
        </w:rPr>
        <w:t>产品</w:t>
      </w:r>
      <w:r>
        <w:rPr>
          <w:b/>
          <w:bCs/>
          <w:color w:val="000000"/>
        </w:rPr>
        <w:t>托管人:南京银行股份有限公司</w:t>
      </w:r>
    </w:p>
    <w:p w:rsidR="00300F63" w:rsidRDefault="00D71AA1">
      <w:pPr>
        <w:widowControl/>
        <w:jc w:val="left"/>
        <w:rPr>
          <w:b/>
          <w:bCs/>
          <w:color w:val="000000"/>
        </w:rPr>
      </w:pPr>
      <w:r>
        <w:rPr>
          <w:rFonts w:hint="eastAsia"/>
          <w:b/>
          <w:bCs/>
          <w:color w:val="000000"/>
        </w:rPr>
        <w:br w:type="page"/>
      </w:r>
    </w:p>
    <w:p w:rsidR="00300F63" w:rsidRDefault="00D71AA1">
      <w:pPr>
        <w:pStyle w:val="dazhangjie"/>
        <w:rPr>
          <w:color w:val="000000"/>
        </w:rPr>
      </w:pPr>
      <w:r>
        <w:rPr>
          <w:rFonts w:hAnsi="Calibri" w:hint="eastAsia"/>
          <w:b/>
          <w:color w:val="000000"/>
        </w:rPr>
        <w:t>§1 产品概况</w:t>
      </w:r>
    </w:p>
    <w:p w:rsidR="00300F63" w:rsidRDefault="00300F63">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pPr>
            <w:r>
              <w:rPr>
                <w:rFonts w:hint="eastAsia"/>
              </w:rPr>
              <w:t>南银理财珠联璧合鑫悦享1912三个月定开公募人民币理财产品</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pPr>
            <w:r>
              <w:rPr>
                <w:rFonts w:hint="eastAsia"/>
              </w:rPr>
              <w:t>Z7003220000011（投资者可依据该编码在中国理财网www.chinawealth.com.cn查询理财产品相关信息）</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开放式净值型</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color w:val="000000"/>
              </w:rPr>
              <w:t>2019年12月18日</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BA51EB">
            <w:pPr>
              <w:pStyle w:val="biaogeleft"/>
              <w:wordWrap w:val="0"/>
            </w:pPr>
            <w:r>
              <w:t>5,746,849,908.87份</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5A6261" w:rsidP="009303EA">
            <w:pPr>
              <w:pStyle w:val="biaogeleft"/>
              <w:wordWrap w:val="0"/>
              <w:rPr>
                <w:color w:val="000000"/>
              </w:rPr>
            </w:pPr>
            <w:r w:rsidRPr="005A6261">
              <w:rPr>
                <w:rFonts w:hint="eastAsia"/>
                <w:color w:val="000000"/>
              </w:rPr>
              <w:t>太平洋资产管理有限责任公司</w:t>
            </w:r>
            <w:r w:rsidR="009303EA">
              <w:rPr>
                <w:rFonts w:hint="eastAsia"/>
                <w:color w:val="000000"/>
              </w:rPr>
              <w:t>、</w:t>
            </w:r>
            <w:r w:rsidRPr="005A6261">
              <w:rPr>
                <w:rFonts w:hint="eastAsia"/>
                <w:color w:val="000000"/>
              </w:rPr>
              <w:t>鑫元基金管理有限公司</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neirong"/>
              <w:wordWrap w:val="0"/>
              <w:rPr>
                <w:color w:val="000000"/>
              </w:rPr>
            </w:pPr>
            <w:r>
              <w:rPr>
                <w:color w:val="000000"/>
              </w:rPr>
              <w:t>南银理财有限责任公司</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color w:val="000000"/>
              </w:rPr>
              <w:t>南京银行股份有限公司</w:t>
            </w:r>
          </w:p>
        </w:tc>
      </w:tr>
    </w:tbl>
    <w:p w:rsidR="00300F63" w:rsidRDefault="00300F63">
      <w:pPr>
        <w:widowControl/>
        <w:jc w:val="left"/>
        <w:rPr>
          <w:rFonts w:ascii="宋体" w:hAnsi="宋体" w:cs="宋体"/>
          <w:color w:val="000000"/>
          <w:kern w:val="0"/>
          <w:sz w:val="24"/>
          <w:szCs w:val="24"/>
        </w:rPr>
      </w:pPr>
    </w:p>
    <w:p w:rsidR="00300F63" w:rsidRDefault="00D71AA1">
      <w:pPr>
        <w:pStyle w:val="dazhangjie"/>
        <w:rPr>
          <w:color w:val="000000"/>
        </w:rPr>
      </w:pPr>
      <w:r>
        <w:rPr>
          <w:rFonts w:hAnsi="Calibri" w:hint="eastAsia"/>
          <w:b/>
          <w:color w:val="000000"/>
        </w:rPr>
        <w:t>§2  主要财务指标</w:t>
      </w:r>
    </w:p>
    <w:p w:rsidR="00300F63" w:rsidRDefault="00D71AA1">
      <w:pPr>
        <w:pStyle w:val="zhangjiep"/>
        <w:ind w:left="0"/>
        <w:rPr>
          <w:color w:val="000000"/>
        </w:rPr>
      </w:pPr>
      <w:r>
        <w:rPr>
          <w:rFonts w:hint="eastAsia"/>
          <w:b/>
          <w:bCs/>
          <w:color w:val="000000"/>
        </w:rPr>
        <w:t>2.1 主要财务指标</w:t>
      </w:r>
    </w:p>
    <w:p w:rsidR="00300F63" w:rsidRDefault="00D71AA1">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9E4F4B">
        <w:tc>
          <w:tcPr>
            <w:tcW w:w="4135" w:type="dxa"/>
            <w:noWrap/>
            <w:vAlign w:val="center"/>
          </w:tcPr>
          <w:p w:rsidR="009E4F4B" w:rsidRDefault="009E4F4B">
            <w:pPr>
              <w:pStyle w:val="a6"/>
              <w:wordWrap w:val="0"/>
              <w:jc w:val="center"/>
              <w:rPr>
                <w:b/>
                <w:bCs/>
                <w:color w:val="000000"/>
              </w:rPr>
            </w:pPr>
            <w:r>
              <w:rPr>
                <w:rFonts w:hint="eastAsia"/>
                <w:b/>
                <w:bCs/>
                <w:color w:val="000000"/>
              </w:rPr>
              <w:t>主要财务指标</w:t>
            </w:r>
          </w:p>
        </w:tc>
        <w:tc>
          <w:tcPr>
            <w:tcW w:w="5187" w:type="dxa"/>
            <w:noWrap/>
          </w:tcPr>
          <w:p w:rsidR="009E4F4B" w:rsidRDefault="00BA51EB" w:rsidP="008C1DF8">
            <w:pPr>
              <w:pStyle w:val="zhangjiep"/>
              <w:jc w:val="center"/>
              <w:rPr>
                <w:b/>
                <w:bCs/>
                <w:color w:val="000000"/>
              </w:rPr>
            </w:pPr>
            <w:r>
              <w:rPr>
                <w:rFonts w:hint="eastAsia"/>
              </w:rPr>
              <w:t>报告期（</w:t>
            </w:r>
            <w:r>
              <w:t>2022年7月1日 - 2022年9月30日）</w:t>
            </w:r>
          </w:p>
        </w:tc>
      </w:tr>
      <w:tr w:rsidR="00300F63">
        <w:tc>
          <w:tcPr>
            <w:tcW w:w="4135" w:type="dxa"/>
            <w:noWrap/>
            <w:vAlign w:val="center"/>
          </w:tcPr>
          <w:p w:rsidR="00300F63" w:rsidRDefault="00D71AA1">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300F63" w:rsidRDefault="00BA51EB">
            <w:pPr>
              <w:pStyle w:val="biaogeright"/>
              <w:jc w:val="center"/>
              <w:rPr>
                <w:b/>
                <w:bCs/>
                <w:color w:val="000000"/>
              </w:rPr>
            </w:pPr>
            <w:r>
              <w:rPr>
                <w:color w:val="000000"/>
              </w:rPr>
              <w:t>5,977,137,638.52</w:t>
            </w:r>
          </w:p>
        </w:tc>
      </w:tr>
      <w:tr w:rsidR="00300F63">
        <w:tc>
          <w:tcPr>
            <w:tcW w:w="4135" w:type="dxa"/>
            <w:noWrap/>
            <w:vAlign w:val="center"/>
          </w:tcPr>
          <w:p w:rsidR="00300F63" w:rsidRDefault="00D71AA1">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300F63" w:rsidRDefault="00BA51EB">
            <w:pPr>
              <w:pStyle w:val="biaogeright"/>
              <w:jc w:val="center"/>
              <w:rPr>
                <w:b/>
                <w:bCs/>
                <w:color w:val="000000"/>
              </w:rPr>
            </w:pPr>
            <w:r>
              <w:rPr>
                <w:color w:val="000000"/>
              </w:rPr>
              <w:t>1.0400</w:t>
            </w:r>
          </w:p>
        </w:tc>
      </w:tr>
      <w:tr w:rsidR="00300F63">
        <w:tc>
          <w:tcPr>
            <w:tcW w:w="4135" w:type="dxa"/>
            <w:noWrap/>
            <w:vAlign w:val="center"/>
          </w:tcPr>
          <w:p w:rsidR="00300F63" w:rsidRDefault="00D71AA1">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300F63" w:rsidRDefault="00BA51EB">
            <w:pPr>
              <w:pStyle w:val="biaogeright"/>
              <w:jc w:val="center"/>
              <w:rPr>
                <w:b/>
                <w:bCs/>
                <w:color w:val="000000"/>
              </w:rPr>
            </w:pPr>
            <w:r>
              <w:rPr>
                <w:color w:val="000000"/>
              </w:rPr>
              <w:t>1.1275</w:t>
            </w:r>
          </w:p>
        </w:tc>
      </w:tr>
    </w:tbl>
    <w:p w:rsidR="00300F63" w:rsidRDefault="00D71AA1">
      <w:pPr>
        <w:pStyle w:val="zhangjiep"/>
        <w:ind w:left="0"/>
        <w:rPr>
          <w:b/>
          <w:bCs/>
          <w:color w:val="000000"/>
        </w:rPr>
      </w:pPr>
      <w:r>
        <w:rPr>
          <w:rFonts w:hint="eastAsia"/>
        </w:rPr>
        <w:t>注：产品净值可能存在未扣除管理人及投资合作机构业绩报酬、赎回费等费用（如有）的情况，实际收益以兑付为准</w:t>
      </w:r>
    </w:p>
    <w:p w:rsidR="00300F63" w:rsidRDefault="00300F63">
      <w:pPr>
        <w:widowControl/>
        <w:jc w:val="left"/>
        <w:rPr>
          <w:rFonts w:ascii="宋体" w:hAnsi="宋体" w:cs="宋体"/>
          <w:color w:val="000000"/>
          <w:kern w:val="0"/>
          <w:sz w:val="24"/>
          <w:szCs w:val="24"/>
        </w:rPr>
      </w:pPr>
    </w:p>
    <w:p w:rsidR="00300F63" w:rsidRDefault="00D71AA1">
      <w:pPr>
        <w:pStyle w:val="dazhangjie"/>
        <w:rPr>
          <w:color w:val="000000"/>
        </w:rPr>
      </w:pPr>
      <w:r>
        <w:rPr>
          <w:rFonts w:hAnsi="Calibri" w:hint="eastAsia"/>
          <w:b/>
          <w:color w:val="000000"/>
        </w:rPr>
        <w:t>§3  管理人报告</w:t>
      </w:r>
    </w:p>
    <w:p w:rsidR="008C1DF8" w:rsidRDefault="008C1DF8" w:rsidP="008C1DF8">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263ECA" w:rsidRPr="00263ECA" w:rsidRDefault="00263ECA" w:rsidP="00263ECA">
      <w:pPr>
        <w:spacing w:line="360" w:lineRule="auto"/>
        <w:ind w:firstLineChars="200" w:firstLine="480"/>
        <w:rPr>
          <w:rFonts w:ascii="宋体" w:hAnsi="宋体"/>
          <w:color w:val="000000"/>
          <w:kern w:val="0"/>
          <w:sz w:val="24"/>
          <w:szCs w:val="24"/>
        </w:rPr>
      </w:pPr>
      <w:bookmarkStart w:id="0" w:name="_Hlk116202715"/>
      <w:r w:rsidRPr="00263ECA">
        <w:rPr>
          <w:rFonts w:ascii="宋体" w:hAnsi="宋体" w:hint="eastAsia"/>
          <w:color w:val="000000"/>
          <w:kern w:val="0"/>
          <w:sz w:val="24"/>
          <w:szCs w:val="24"/>
        </w:rPr>
        <w:t>整体来看，三季度债券市场先涨后跌。</w:t>
      </w:r>
      <w:r w:rsidRPr="00263ECA">
        <w:rPr>
          <w:rFonts w:ascii="宋体" w:hAnsi="宋体"/>
          <w:color w:val="000000"/>
          <w:kern w:val="0"/>
          <w:sz w:val="24"/>
          <w:szCs w:val="24"/>
        </w:rPr>
        <w:t>7</w:t>
      </w:r>
      <w:r w:rsidRPr="00263ECA">
        <w:rPr>
          <w:rFonts w:ascii="宋体" w:hAnsi="宋体" w:hint="eastAsia"/>
          <w:color w:val="000000"/>
          <w:kern w:val="0"/>
          <w:sz w:val="24"/>
          <w:szCs w:val="24"/>
        </w:rPr>
        <w:t>月受到房地产风波叠加疫情对国内经济基本面预期造成的负面影响，债券收益率趋于下行。</w:t>
      </w:r>
      <w:r w:rsidRPr="00263ECA">
        <w:rPr>
          <w:rFonts w:ascii="宋体" w:hAnsi="宋体"/>
          <w:color w:val="000000"/>
          <w:kern w:val="0"/>
          <w:sz w:val="24"/>
          <w:szCs w:val="24"/>
        </w:rPr>
        <w:t>8</w:t>
      </w:r>
      <w:r w:rsidRPr="00263ECA">
        <w:rPr>
          <w:rFonts w:ascii="宋体" w:hAnsi="宋体" w:hint="eastAsia"/>
          <w:color w:val="000000"/>
          <w:kern w:val="0"/>
          <w:sz w:val="24"/>
          <w:szCs w:val="24"/>
        </w:rPr>
        <w:t>月央行超预期降息，资金利率不断走低，债市收益率继续下行。随着稳增长政策的加码与持续推进，国内经济与金融数据边际企稳回暖，叠加跨季资金波动、美国鹰派加息及人民币兑美元持续贬值影响，</w:t>
      </w:r>
      <w:r w:rsidRPr="00263ECA">
        <w:rPr>
          <w:rFonts w:ascii="宋体" w:hAnsi="宋体"/>
          <w:color w:val="000000"/>
          <w:kern w:val="0"/>
          <w:sz w:val="24"/>
          <w:szCs w:val="24"/>
        </w:rPr>
        <w:t>9</w:t>
      </w:r>
      <w:r w:rsidRPr="00263ECA">
        <w:rPr>
          <w:rFonts w:ascii="宋体" w:hAnsi="宋体" w:hint="eastAsia"/>
          <w:color w:val="000000"/>
          <w:kern w:val="0"/>
          <w:sz w:val="24"/>
          <w:szCs w:val="24"/>
        </w:rPr>
        <w:t>月债市震荡回调。总体来看，截止季末</w:t>
      </w:r>
      <w:r w:rsidRPr="00263ECA">
        <w:rPr>
          <w:rFonts w:ascii="宋体" w:hAnsi="宋体"/>
          <w:color w:val="000000"/>
          <w:kern w:val="0"/>
          <w:sz w:val="24"/>
          <w:szCs w:val="24"/>
        </w:rPr>
        <w:t>10</w:t>
      </w:r>
      <w:r w:rsidRPr="00263ECA">
        <w:rPr>
          <w:rFonts w:ascii="宋体" w:hAnsi="宋体" w:hint="eastAsia"/>
          <w:color w:val="000000"/>
          <w:kern w:val="0"/>
          <w:sz w:val="24"/>
          <w:szCs w:val="24"/>
        </w:rPr>
        <w:t>年期国债收益率下行</w:t>
      </w:r>
      <w:r w:rsidRPr="00263ECA">
        <w:rPr>
          <w:rFonts w:ascii="宋体" w:hAnsi="宋体"/>
          <w:color w:val="000000"/>
          <w:kern w:val="0"/>
          <w:sz w:val="24"/>
          <w:szCs w:val="24"/>
        </w:rPr>
        <w:t>6bp</w:t>
      </w:r>
      <w:r w:rsidRPr="00263ECA">
        <w:rPr>
          <w:rFonts w:ascii="宋体" w:hAnsi="宋体" w:hint="eastAsia"/>
          <w:color w:val="000000"/>
          <w:kern w:val="0"/>
          <w:sz w:val="24"/>
          <w:szCs w:val="24"/>
        </w:rPr>
        <w:t>至</w:t>
      </w:r>
      <w:r w:rsidRPr="00263ECA">
        <w:rPr>
          <w:rFonts w:ascii="宋体" w:hAnsi="宋体"/>
          <w:color w:val="000000"/>
          <w:kern w:val="0"/>
          <w:sz w:val="24"/>
          <w:szCs w:val="24"/>
        </w:rPr>
        <w:t>2.76%</w:t>
      </w:r>
      <w:r w:rsidRPr="00263ECA">
        <w:rPr>
          <w:rFonts w:ascii="宋体" w:hAnsi="宋体" w:hint="eastAsia"/>
          <w:color w:val="000000"/>
          <w:kern w:val="0"/>
          <w:sz w:val="24"/>
          <w:szCs w:val="24"/>
        </w:rPr>
        <w:t>，</w:t>
      </w:r>
      <w:r w:rsidRPr="00263ECA">
        <w:rPr>
          <w:rFonts w:ascii="宋体" w:hAnsi="宋体"/>
          <w:color w:val="000000"/>
          <w:kern w:val="0"/>
          <w:sz w:val="24"/>
          <w:szCs w:val="24"/>
        </w:rPr>
        <w:t>10</w:t>
      </w:r>
      <w:r w:rsidRPr="00263ECA">
        <w:rPr>
          <w:rFonts w:ascii="宋体" w:hAnsi="宋体" w:hint="eastAsia"/>
          <w:color w:val="000000"/>
          <w:kern w:val="0"/>
          <w:sz w:val="24"/>
          <w:szCs w:val="24"/>
        </w:rPr>
        <w:t>年期国开债收益率下行</w:t>
      </w:r>
      <w:r w:rsidRPr="00263ECA">
        <w:rPr>
          <w:rFonts w:ascii="宋体" w:hAnsi="宋体"/>
          <w:color w:val="000000"/>
          <w:kern w:val="0"/>
          <w:sz w:val="24"/>
          <w:szCs w:val="24"/>
        </w:rPr>
        <w:t>11bp</w:t>
      </w:r>
      <w:r w:rsidRPr="00263ECA">
        <w:rPr>
          <w:rFonts w:ascii="宋体" w:hAnsi="宋体" w:hint="eastAsia"/>
          <w:color w:val="000000"/>
          <w:kern w:val="0"/>
          <w:sz w:val="24"/>
          <w:szCs w:val="24"/>
        </w:rPr>
        <w:t>至</w:t>
      </w:r>
      <w:r w:rsidRPr="00263ECA">
        <w:rPr>
          <w:rFonts w:ascii="宋体" w:hAnsi="宋体"/>
          <w:color w:val="000000"/>
          <w:kern w:val="0"/>
          <w:sz w:val="24"/>
          <w:szCs w:val="24"/>
        </w:rPr>
        <w:t>2.93%</w:t>
      </w:r>
      <w:r w:rsidRPr="00263ECA">
        <w:rPr>
          <w:rFonts w:ascii="宋体" w:hAnsi="宋体" w:hint="eastAsia"/>
          <w:color w:val="000000"/>
          <w:kern w:val="0"/>
          <w:sz w:val="24"/>
          <w:szCs w:val="24"/>
        </w:rPr>
        <w:t>，中债新综合财富指数上涨</w:t>
      </w:r>
      <w:r w:rsidRPr="00263ECA">
        <w:rPr>
          <w:rFonts w:ascii="宋体" w:hAnsi="宋体"/>
          <w:color w:val="000000"/>
          <w:kern w:val="0"/>
          <w:sz w:val="24"/>
          <w:szCs w:val="24"/>
        </w:rPr>
        <w:t>1.02%</w:t>
      </w:r>
      <w:r w:rsidRPr="00263ECA">
        <w:rPr>
          <w:rFonts w:ascii="宋体" w:hAnsi="宋体" w:hint="eastAsia"/>
          <w:color w:val="000000"/>
          <w:kern w:val="0"/>
          <w:sz w:val="24"/>
          <w:szCs w:val="24"/>
        </w:rPr>
        <w:t>。</w:t>
      </w:r>
    </w:p>
    <w:p w:rsidR="00263ECA" w:rsidRPr="00263ECA" w:rsidRDefault="00263ECA" w:rsidP="00263EC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lastRenderedPageBreak/>
        <w:t>展望后市，当前市场对国内地产政策持续放松的预期有所升温，短期内或抑制债市情绪；但资金面整体宽松、国内需求持续疲弱、出口回落、疫情散点爆发等因素也制约着债券市场调整的空间。综合来看，当前多空因素交织，预计债券市场利率低位震荡格局并未改变。</w:t>
      </w:r>
      <w:bookmarkEnd w:id="0"/>
    </w:p>
    <w:p w:rsidR="00263ECA" w:rsidRPr="00263ECA" w:rsidRDefault="00263ECA" w:rsidP="00263EC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始终围绕稳健回报的收益目标进行操作，通过持有短久期的高流动性资产和中等久期的底仓信用资产，在获取稳定可靠的票息收益同时，保证产品的流动性安全。面对市场波动，灵活调整产品杠杆与久期结构，实现产品净值在合理区间内保持相对稳定。基于对后市的判断，产品将继续优选信用资质较好、绝对收益相对较高的信用债、银行存款作为底仓保证产品长期运作收益；同时在风险可控的条件下参与利率债、银行次级债、同业存单等品种的波段交易机会，实现产品收益的稳健增值。</w:t>
      </w:r>
    </w:p>
    <w:p w:rsidR="008C1DF8" w:rsidRDefault="008C1DF8" w:rsidP="008C1DF8">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263ECA" w:rsidRPr="00263ECA" w:rsidRDefault="00263ECA" w:rsidP="00263EC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300F63" w:rsidRDefault="00D71AA1">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BA51EB" w:rsidRDefault="00263ECA">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BA51EB">
        <w:rPr>
          <w:rFonts w:ascii="宋体" w:hAnsi="宋体"/>
          <w:color w:val="000000"/>
          <w:kern w:val="0"/>
          <w:sz w:val="24"/>
          <w:szCs w:val="24"/>
        </w:rPr>
        <w:t>截至报告期末,本产品份额净值为1.0400元。</w:t>
      </w:r>
    </w:p>
    <w:p w:rsidR="00300F63" w:rsidRDefault="00300F63">
      <w:pPr>
        <w:spacing w:line="360" w:lineRule="auto"/>
        <w:ind w:firstLineChars="200" w:firstLine="480"/>
        <w:rPr>
          <w:rFonts w:ascii="宋体" w:hAnsi="宋体"/>
          <w:sz w:val="24"/>
          <w:szCs w:val="24"/>
        </w:rPr>
      </w:pPr>
    </w:p>
    <w:p w:rsidR="00300F63" w:rsidRDefault="00D71AA1">
      <w:pPr>
        <w:pStyle w:val="dazhangjie"/>
        <w:rPr>
          <w:color w:val="000000"/>
        </w:rPr>
      </w:pPr>
      <w:r>
        <w:rPr>
          <w:rFonts w:hAnsi="Calibri" w:hint="eastAsia"/>
          <w:b/>
          <w:color w:val="000000"/>
        </w:rPr>
        <w:t>§4  投资组合报告</w:t>
      </w:r>
    </w:p>
    <w:p w:rsidR="00300F63" w:rsidRDefault="00D71AA1">
      <w:pPr>
        <w:pStyle w:val="zhangjiep"/>
        <w:ind w:left="0"/>
      </w:pPr>
      <w:r>
        <w:rPr>
          <w:rFonts w:hint="eastAsia"/>
          <w:b/>
          <w:bCs/>
        </w:rPr>
        <w:t>4.1 报告期末产品资产组合情况</w:t>
      </w:r>
    </w:p>
    <w:tbl>
      <w:tblPr>
        <w:tblW w:w="0" w:type="auto"/>
        <w:tblInd w:w="108" w:type="dxa"/>
        <w:tblLayout w:type="fixed"/>
        <w:tblLook w:val="04A0"/>
      </w:tblPr>
      <w:tblGrid>
        <w:gridCol w:w="891"/>
        <w:gridCol w:w="3220"/>
        <w:gridCol w:w="2425"/>
        <w:gridCol w:w="2395"/>
      </w:tblGrid>
      <w:tr w:rsidR="00300F63">
        <w:tc>
          <w:tcPr>
            <w:tcW w:w="891" w:type="dxa"/>
            <w:tcBorders>
              <w:top w:val="single" w:sz="8" w:space="0" w:color="000000"/>
              <w:left w:val="single" w:sz="8" w:space="0" w:color="000000"/>
              <w:bottom w:val="single" w:sz="8" w:space="0" w:color="000000"/>
              <w:right w:val="single" w:sz="8" w:space="0" w:color="000000"/>
            </w:tcBorders>
            <w:noWrap/>
            <w:vAlign w:val="bottom"/>
          </w:tcPr>
          <w:p w:rsidR="00300F63" w:rsidRDefault="00D71AA1">
            <w:pPr>
              <w:pStyle w:val="biaogecenter"/>
              <w:rPr>
                <w:color w:val="000000"/>
              </w:rPr>
            </w:pPr>
            <w:r>
              <w:rPr>
                <w:rFonts w:hint="eastAsia"/>
                <w:color w:val="000000"/>
              </w:rPr>
              <w:t>序号</w:t>
            </w:r>
          </w:p>
        </w:tc>
        <w:tc>
          <w:tcPr>
            <w:tcW w:w="3220" w:type="dxa"/>
            <w:tcBorders>
              <w:top w:val="single" w:sz="8" w:space="0" w:color="000000"/>
              <w:left w:val="single" w:sz="8" w:space="0" w:color="000000"/>
              <w:bottom w:val="single" w:sz="8" w:space="0" w:color="000000"/>
              <w:right w:val="single" w:sz="8" w:space="0" w:color="000000"/>
            </w:tcBorders>
            <w:noWrap/>
            <w:vAlign w:val="bottom"/>
          </w:tcPr>
          <w:p w:rsidR="00300F63" w:rsidRDefault="00D71AA1">
            <w:pPr>
              <w:pStyle w:val="biaogecenter"/>
              <w:rPr>
                <w:color w:val="000000"/>
              </w:rPr>
            </w:pPr>
            <w:r>
              <w:rPr>
                <w:rFonts w:hint="eastAsia"/>
                <w:color w:val="000000"/>
              </w:rPr>
              <w:t>资产类别</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rPr>
                <w:color w:val="000000"/>
              </w:rPr>
            </w:pPr>
            <w:r>
              <w:rPr>
                <w:rFonts w:hint="eastAsia"/>
                <w:color w:val="000000"/>
              </w:rPr>
              <w:t>穿透后占总资产比例</w:t>
            </w:r>
          </w:p>
        </w:tc>
      </w:tr>
      <w:tr w:rsidR="001447FF">
        <w:tc>
          <w:tcPr>
            <w:tcW w:w="891" w:type="dxa"/>
            <w:tcBorders>
              <w:top w:val="single" w:sz="8" w:space="0" w:color="000000"/>
              <w:left w:val="single" w:sz="8" w:space="0" w:color="000000"/>
              <w:bottom w:val="single" w:sz="8" w:space="0" w:color="000000"/>
              <w:right w:val="single" w:sz="8" w:space="0" w:color="000000"/>
            </w:tcBorders>
            <w:noWrap/>
            <w:vAlign w:val="bottom"/>
          </w:tcPr>
          <w:p w:rsidR="001447FF" w:rsidRDefault="001447FF">
            <w:pPr>
              <w:pStyle w:val="biaogecenter"/>
              <w:rPr>
                <w:color w:val="000000"/>
              </w:rPr>
            </w:pPr>
            <w:r>
              <w:rPr>
                <w:rFonts w:hint="eastAsia"/>
                <w:color w:val="000000"/>
              </w:rPr>
              <w:t>1</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rFonts w:hint="eastAsia"/>
                <w:color w:val="000000"/>
              </w:rPr>
              <w:t>固定收益类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100.00%</w:t>
            </w:r>
          </w:p>
        </w:tc>
      </w:tr>
      <w:tr w:rsidR="001447FF">
        <w:tc>
          <w:tcPr>
            <w:tcW w:w="891" w:type="dxa"/>
            <w:tcBorders>
              <w:top w:val="single" w:sz="8" w:space="0" w:color="000000"/>
              <w:left w:val="single" w:sz="8" w:space="0" w:color="000000"/>
              <w:bottom w:val="single" w:sz="8" w:space="0" w:color="000000"/>
              <w:right w:val="single" w:sz="8" w:space="0" w:color="000000"/>
            </w:tcBorders>
            <w:noWrap/>
            <w:vAlign w:val="bottom"/>
          </w:tcPr>
          <w:p w:rsidR="001447FF" w:rsidRDefault="001447FF">
            <w:pPr>
              <w:pStyle w:val="biaogecenter"/>
              <w:rPr>
                <w:color w:val="000000"/>
              </w:rPr>
            </w:pPr>
            <w:r>
              <w:rPr>
                <w:rFonts w:hint="eastAsia"/>
                <w:color w:val="000000"/>
              </w:rPr>
              <w:t>2</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rFonts w:hint="eastAsia"/>
                <w:color w:val="000000"/>
              </w:rPr>
              <w:t>权益类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0.00%</w:t>
            </w:r>
          </w:p>
        </w:tc>
      </w:tr>
      <w:tr w:rsidR="001447FF">
        <w:tc>
          <w:tcPr>
            <w:tcW w:w="891" w:type="dxa"/>
            <w:tcBorders>
              <w:top w:val="single" w:sz="8" w:space="0" w:color="000000"/>
              <w:left w:val="single" w:sz="8" w:space="0" w:color="000000"/>
              <w:bottom w:val="single" w:sz="8" w:space="0" w:color="000000"/>
              <w:right w:val="single" w:sz="8" w:space="0" w:color="000000"/>
            </w:tcBorders>
            <w:noWrap/>
            <w:vAlign w:val="bottom"/>
          </w:tcPr>
          <w:p w:rsidR="001447FF" w:rsidRDefault="001447FF">
            <w:pPr>
              <w:pStyle w:val="biaogecenter"/>
              <w:rPr>
                <w:color w:val="000000"/>
              </w:rPr>
            </w:pPr>
            <w:r>
              <w:rPr>
                <w:rFonts w:hint="eastAsia"/>
                <w:color w:val="000000"/>
              </w:rPr>
              <w:t>3</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rFonts w:hint="eastAsia"/>
                <w:color w:val="000000"/>
              </w:rPr>
              <w:t>商品及金融衍生品类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0.00%</w:t>
            </w:r>
          </w:p>
        </w:tc>
      </w:tr>
      <w:tr w:rsidR="001447FF">
        <w:tc>
          <w:tcPr>
            <w:tcW w:w="891" w:type="dxa"/>
            <w:tcBorders>
              <w:top w:val="single" w:sz="8" w:space="0" w:color="000000"/>
              <w:left w:val="single" w:sz="8" w:space="0" w:color="000000"/>
              <w:bottom w:val="single" w:sz="8" w:space="0" w:color="000000"/>
              <w:right w:val="single" w:sz="8" w:space="0" w:color="000000"/>
            </w:tcBorders>
            <w:noWrap/>
            <w:vAlign w:val="bottom"/>
          </w:tcPr>
          <w:p w:rsidR="001447FF" w:rsidRDefault="001447FF">
            <w:pPr>
              <w:pStyle w:val="biaogecenter"/>
              <w:rPr>
                <w:color w:val="000000"/>
              </w:rPr>
            </w:pPr>
            <w:r>
              <w:rPr>
                <w:rFonts w:hint="eastAsia"/>
                <w:color w:val="000000"/>
              </w:rPr>
              <w:t>4</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rFonts w:hint="eastAsia"/>
                <w:color w:val="000000"/>
              </w:rPr>
              <w:t>混合类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0.00%</w:t>
            </w:r>
          </w:p>
        </w:tc>
      </w:tr>
      <w:tr w:rsidR="001447FF">
        <w:tc>
          <w:tcPr>
            <w:tcW w:w="891" w:type="dxa"/>
            <w:tcBorders>
              <w:top w:val="single" w:sz="8" w:space="0" w:color="000000"/>
              <w:left w:val="single" w:sz="8" w:space="0" w:color="000000"/>
              <w:bottom w:val="single" w:sz="8" w:space="0" w:color="000000"/>
              <w:right w:val="single" w:sz="8" w:space="0" w:color="000000"/>
            </w:tcBorders>
            <w:noWrap/>
            <w:vAlign w:val="bottom"/>
          </w:tcPr>
          <w:p w:rsidR="001447FF" w:rsidRDefault="001447FF">
            <w:pPr>
              <w:pStyle w:val="biaogecenter"/>
              <w:rPr>
                <w:color w:val="000000"/>
              </w:rPr>
            </w:pPr>
            <w:r>
              <w:rPr>
                <w:rFonts w:hint="eastAsia"/>
                <w:color w:val="000000"/>
              </w:rPr>
              <w:t>5</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rFonts w:hint="eastAsia"/>
                <w:color w:val="000000"/>
              </w:rPr>
              <w:t>合计</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447FF" w:rsidRPr="006D2803" w:rsidRDefault="001447FF" w:rsidP="00D70DC8">
            <w:pPr>
              <w:pStyle w:val="biaogecenter"/>
              <w:rPr>
                <w:color w:val="000000"/>
              </w:rPr>
            </w:pPr>
            <w:r w:rsidRPr="006D2803">
              <w:rPr>
                <w:color w:val="000000"/>
              </w:rPr>
              <w:t>100.00%</w:t>
            </w:r>
          </w:p>
        </w:tc>
      </w:tr>
    </w:tbl>
    <w:p w:rsidR="009303EA" w:rsidRDefault="009303EA">
      <w:pPr>
        <w:pStyle w:val="zhangjiep"/>
        <w:rPr>
          <w:b/>
          <w:bCs/>
          <w:color w:val="000000"/>
        </w:rPr>
      </w:pPr>
      <w:bookmarkStart w:id="1" w:name="_GoBack"/>
      <w:bookmarkEnd w:id="1"/>
    </w:p>
    <w:p w:rsidR="00300F63" w:rsidRDefault="00D71AA1">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300F63">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占产品资产净值比例（％）</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ZJQTT2022021</w:t>
            </w:r>
            <w:r w:rsidRPr="0022064F">
              <w:rPr>
                <w:rFonts w:hint="eastAsia"/>
                <w:color w:val="000000"/>
              </w:rPr>
              <w:lastRenderedPageBreak/>
              <w:t>60001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lastRenderedPageBreak/>
              <w:t>鑫元基金-鑫安利得57</w:t>
            </w:r>
            <w:r w:rsidRPr="0022064F">
              <w:rPr>
                <w:rFonts w:hint="eastAsia"/>
                <w:color w:val="000000"/>
              </w:rPr>
              <w:lastRenderedPageBreak/>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lastRenderedPageBreak/>
              <w:t>206,930,899.28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3.46</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pPr>
            <w:r>
              <w:rPr>
                <w:rFonts w:hint="eastAsia"/>
                <w:color w:val="000000"/>
              </w:rPr>
              <w:lastRenderedPageBreak/>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102000502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20高淳国资MTN001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100,933,900.00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1.69</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032000043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20淮安经开PPN001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100,647,700.00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1.68</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210312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21进出12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100,531,400.00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1.68</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166441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20德建01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1.67</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167403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20南湖01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99,811,587.67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1.67</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112280959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22宁波通商银行CD340</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98,933,000.00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1.66</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177355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20镇城F7</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83,803,115.39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1.40</w:t>
            </w:r>
          </w:p>
        </w:tc>
      </w:tr>
      <w:tr w:rsidR="0022064F">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190214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19国开14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80,075,360.00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1.34</w:t>
            </w:r>
          </w:p>
        </w:tc>
      </w:tr>
      <w:tr w:rsidR="0022064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2064F" w:rsidRDefault="0022064F">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2064F" w:rsidRPr="0022064F" w:rsidRDefault="0022064F" w:rsidP="0022064F">
            <w:pPr>
              <w:pStyle w:val="biaogecenter"/>
              <w:wordWrap w:val="0"/>
              <w:rPr>
                <w:color w:val="000000"/>
              </w:rPr>
            </w:pPr>
            <w:r w:rsidRPr="0022064F">
              <w:rPr>
                <w:rFonts w:hint="eastAsia"/>
                <w:color w:val="000000"/>
              </w:rPr>
              <w:t>166273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20宿惠01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80,000,556.95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2064F" w:rsidRPr="0022064F" w:rsidRDefault="0022064F" w:rsidP="0022064F">
            <w:pPr>
              <w:pStyle w:val="biaogecenter"/>
              <w:wordWrap w:val="0"/>
              <w:rPr>
                <w:color w:val="000000"/>
              </w:rPr>
            </w:pPr>
            <w:r w:rsidRPr="0022064F">
              <w:rPr>
                <w:rFonts w:hint="eastAsia"/>
                <w:color w:val="000000"/>
              </w:rPr>
              <w:t>1.34</w:t>
            </w:r>
          </w:p>
        </w:tc>
      </w:tr>
    </w:tbl>
    <w:p w:rsidR="00300F63" w:rsidRDefault="00300F63">
      <w:pPr>
        <w:widowControl/>
        <w:jc w:val="left"/>
        <w:rPr>
          <w:rFonts w:ascii="宋体" w:hAnsi="宋体" w:cs="宋体"/>
          <w:b/>
          <w:sz w:val="24"/>
          <w:szCs w:val="24"/>
          <w:shd w:val="clear" w:color="auto" w:fill="FFFFFF"/>
        </w:rPr>
      </w:pPr>
    </w:p>
    <w:p w:rsidR="00300F63" w:rsidRDefault="00D71AA1">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300F63" w:rsidRDefault="00300F63">
      <w:pPr>
        <w:widowControl/>
        <w:jc w:val="left"/>
        <w:rPr>
          <w:b/>
          <w:shd w:val="clear" w:color="auto" w:fill="FFFFFF"/>
        </w:rPr>
      </w:pPr>
    </w:p>
    <w:tbl>
      <w:tblPr>
        <w:tblW w:w="0" w:type="auto"/>
        <w:tblInd w:w="108" w:type="dxa"/>
        <w:tblLayout w:type="fixed"/>
        <w:tblLook w:val="04A0"/>
      </w:tblPr>
      <w:tblGrid>
        <w:gridCol w:w="709"/>
        <w:gridCol w:w="1701"/>
        <w:gridCol w:w="2126"/>
        <w:gridCol w:w="1134"/>
        <w:gridCol w:w="1134"/>
        <w:gridCol w:w="1276"/>
        <w:gridCol w:w="851"/>
      </w:tblGrid>
      <w:tr w:rsidR="00300F63" w:rsidTr="004073A6">
        <w:tc>
          <w:tcPr>
            <w:tcW w:w="709"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t>序号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融资客户</w:t>
            </w:r>
          </w:p>
        </w:tc>
        <w:tc>
          <w:tcPr>
            <w:tcW w:w="2126"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剩余融资期限</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风险状况</w:t>
            </w:r>
          </w:p>
        </w:tc>
      </w:tr>
      <w:tr w:rsidR="004073A6" w:rsidTr="004073A6">
        <w:tc>
          <w:tcPr>
            <w:tcW w:w="709" w:type="dxa"/>
            <w:tcBorders>
              <w:top w:val="single" w:sz="8" w:space="0" w:color="000000"/>
              <w:left w:val="single" w:sz="8" w:space="0" w:color="000000"/>
              <w:bottom w:val="single" w:sz="8" w:space="0" w:color="000000"/>
              <w:right w:val="single" w:sz="8" w:space="0" w:color="000000"/>
            </w:tcBorders>
            <w:noWrap/>
            <w:vAlign w:val="center"/>
          </w:tcPr>
          <w:p w:rsidR="004073A6" w:rsidRDefault="00611E39">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611E39" w:rsidP="004073A6">
            <w:pPr>
              <w:pStyle w:val="biaogecenter"/>
              <w:wordWrap w:val="0"/>
              <w:rPr>
                <w:shd w:val="clear" w:color="auto" w:fill="FFFFFF"/>
              </w:rPr>
            </w:pPr>
            <w:r>
              <w:rPr>
                <w:rFonts w:hint="eastAsia"/>
                <w:shd w:val="clear" w:color="auto" w:fill="FFFFFF"/>
              </w:rPr>
              <w:t>-</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611E39" w:rsidP="004073A6">
            <w:pPr>
              <w:pStyle w:val="biaogecenter"/>
              <w:wordWrap w:val="0"/>
              <w:rPr>
                <w:shd w:val="clear" w:color="auto" w:fill="FFFFFF"/>
              </w:rPr>
            </w:pPr>
            <w:r>
              <w:rPr>
                <w:rFonts w:hint="eastAsia"/>
                <w:shd w:val="clear" w:color="auto" w:fill="FFFFFF"/>
              </w:rPr>
              <w:t>-</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611E39" w:rsidP="004073A6">
            <w:pPr>
              <w:pStyle w:val="biaogecenter"/>
              <w:wordWrap w:val="0"/>
              <w:rPr>
                <w:shd w:val="clear" w:color="auto" w:fill="FFFFFF"/>
              </w:rPr>
            </w:pPr>
            <w:r>
              <w:rPr>
                <w:rFonts w:hint="eastAsia"/>
                <w:shd w:val="clear" w:color="auto" w:fill="FFFFFF"/>
              </w:rPr>
              <w:t>-</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611E39" w:rsidP="004073A6">
            <w:pPr>
              <w:pStyle w:val="biaogecenter"/>
              <w:wordWrap w:val="0"/>
              <w:rPr>
                <w:shd w:val="clear" w:color="auto" w:fill="FFFFFF"/>
              </w:rPr>
            </w:pPr>
            <w:r>
              <w:rPr>
                <w:rFonts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611E39" w:rsidP="004073A6">
            <w:pPr>
              <w:pStyle w:val="biaogecenter"/>
              <w:wordWrap w:val="0"/>
              <w:rPr>
                <w:shd w:val="clear" w:color="auto" w:fill="FFFFFF"/>
              </w:rPr>
            </w:pPr>
            <w:r>
              <w:rPr>
                <w:rFonts w:hint="eastAsia"/>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611E39" w:rsidP="004073A6">
            <w:pPr>
              <w:pStyle w:val="biaogecenter"/>
              <w:wordWrap w:val="0"/>
              <w:rPr>
                <w:shd w:val="clear" w:color="auto" w:fill="FFFFFF"/>
              </w:rPr>
            </w:pPr>
            <w:r>
              <w:rPr>
                <w:rFonts w:hint="eastAsia"/>
                <w:shd w:val="clear" w:color="auto" w:fill="FFFFFF"/>
              </w:rPr>
              <w:t>-</w:t>
            </w:r>
          </w:p>
        </w:tc>
      </w:tr>
    </w:tbl>
    <w:p w:rsidR="00300F63" w:rsidRDefault="00300F63">
      <w:pPr>
        <w:widowControl/>
        <w:jc w:val="left"/>
        <w:rPr>
          <w:rFonts w:ascii="宋体" w:hAnsi="宋体" w:cs="宋体"/>
          <w:color w:val="000000"/>
          <w:kern w:val="0"/>
          <w:sz w:val="24"/>
          <w:szCs w:val="24"/>
        </w:rPr>
      </w:pPr>
    </w:p>
    <w:p w:rsidR="009303EA" w:rsidRDefault="009303EA">
      <w:pPr>
        <w:widowControl/>
        <w:jc w:val="left"/>
        <w:rPr>
          <w:rFonts w:ascii="宋体" w:hAnsi="宋体" w:cs="宋体"/>
          <w:color w:val="000000"/>
          <w:kern w:val="0"/>
          <w:sz w:val="24"/>
          <w:szCs w:val="24"/>
        </w:rPr>
      </w:pPr>
    </w:p>
    <w:p w:rsidR="00300F63" w:rsidRDefault="00D71AA1">
      <w:pPr>
        <w:pStyle w:val="dazhangjie"/>
        <w:rPr>
          <w:b/>
          <w:bCs/>
          <w:color w:val="000000"/>
        </w:rPr>
      </w:pPr>
      <w:r>
        <w:rPr>
          <w:rFonts w:hint="eastAsia"/>
          <w:b/>
          <w:bCs/>
          <w:color w:val="000000"/>
        </w:rPr>
        <w:t>§5 投资账户信息</w:t>
      </w:r>
    </w:p>
    <w:tbl>
      <w:tblPr>
        <w:tblW w:w="4950" w:type="pct"/>
        <w:tblInd w:w="88" w:type="dxa"/>
        <w:tblLook w:val="04A0"/>
      </w:tblPr>
      <w:tblGrid>
        <w:gridCol w:w="711"/>
        <w:gridCol w:w="1238"/>
        <w:gridCol w:w="2252"/>
        <w:gridCol w:w="3772"/>
        <w:gridCol w:w="1240"/>
      </w:tblGrid>
      <w:tr w:rsidR="00300F63" w:rsidTr="00DB2B6F">
        <w:trPr>
          <w:trHeight w:val="705"/>
        </w:trPr>
        <w:tc>
          <w:tcPr>
            <w:tcW w:w="386"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rPr>
                <w:shd w:val="clear" w:color="auto" w:fill="FFFFFF"/>
              </w:rPr>
            </w:pPr>
            <w:r>
              <w:rPr>
                <w:rFonts w:hAnsi="Calibri" w:hint="eastAsia"/>
                <w:shd w:val="clear" w:color="auto" w:fill="FFFFFF"/>
              </w:rPr>
              <w:t>序号</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t>账号</w:t>
            </w:r>
          </w:p>
        </w:tc>
        <w:tc>
          <w:tcPr>
            <w:tcW w:w="2047"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账户名称</w:t>
            </w:r>
          </w:p>
        </w:tc>
        <w:tc>
          <w:tcPr>
            <w:tcW w:w="673"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开户单位</w:t>
            </w:r>
          </w:p>
        </w:tc>
      </w:tr>
      <w:tr w:rsidR="00300F63" w:rsidTr="00DB2B6F">
        <w:trPr>
          <w:trHeight w:val="364"/>
        </w:trPr>
        <w:tc>
          <w:tcPr>
            <w:tcW w:w="386"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t>1</w:t>
            </w:r>
          </w:p>
        </w:tc>
        <w:tc>
          <w:tcPr>
            <w:tcW w:w="672" w:type="pct"/>
            <w:tcBorders>
              <w:top w:val="single" w:sz="8" w:space="0" w:color="000000"/>
              <w:left w:val="single" w:sz="8" w:space="0" w:color="000000"/>
              <w:bottom w:val="single" w:sz="8" w:space="0" w:color="000000"/>
              <w:right w:val="single" w:sz="8" w:space="0" w:color="000000"/>
            </w:tcBorders>
            <w:noWrap/>
            <w:vAlign w:val="bottom"/>
          </w:tcPr>
          <w:p w:rsidR="00300F63" w:rsidRDefault="00D71AA1">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shd w:val="clear" w:color="auto" w:fill="FFFFFF"/>
              </w:rPr>
              <w:t>0120040000000350</w:t>
            </w:r>
          </w:p>
        </w:tc>
        <w:tc>
          <w:tcPr>
            <w:tcW w:w="2047"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shd w:val="clear" w:color="auto" w:fill="FFFFFF"/>
              </w:rPr>
              <w:t>南京银行鑫悦享1912三个月定开</w:t>
            </w:r>
          </w:p>
        </w:tc>
        <w:tc>
          <w:tcPr>
            <w:tcW w:w="673"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shd w:val="clear" w:color="auto" w:fill="FFFFFF"/>
              </w:rPr>
              <w:t>南京银行</w:t>
            </w:r>
          </w:p>
        </w:tc>
      </w:tr>
    </w:tbl>
    <w:p w:rsidR="000845C8" w:rsidRDefault="000845C8" w:rsidP="000845C8">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0845C8" w:rsidRDefault="000845C8" w:rsidP="000845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0845C8" w:rsidRDefault="000845C8" w:rsidP="000845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140,022,052.05</w:t>
      </w:r>
      <w:r>
        <w:rPr>
          <w:rFonts w:ascii="宋体" w:hAnsi="宋体" w:hint="eastAsia"/>
          <w:sz w:val="24"/>
        </w:rPr>
        <w:t>元。</w:t>
      </w:r>
    </w:p>
    <w:p w:rsidR="000845C8" w:rsidRDefault="000845C8" w:rsidP="000845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71,974,712.33</w:t>
      </w:r>
      <w:r>
        <w:rPr>
          <w:rFonts w:ascii="宋体" w:hAnsi="宋体" w:hint="eastAsia"/>
          <w:sz w:val="24"/>
        </w:rPr>
        <w:t>元。</w:t>
      </w:r>
    </w:p>
    <w:p w:rsidR="000845C8" w:rsidRDefault="000845C8" w:rsidP="000845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hAnsi="宋体"/>
          <w:sz w:val="24"/>
        </w:rPr>
        <w:t>200,000,000.00</w:t>
      </w:r>
      <w:r>
        <w:rPr>
          <w:rFonts w:ascii="宋体" w:hAnsi="宋体" w:hint="eastAsia"/>
          <w:sz w:val="24"/>
        </w:rPr>
        <w:t>元。</w:t>
      </w:r>
    </w:p>
    <w:p w:rsidR="000845C8" w:rsidRDefault="000845C8" w:rsidP="000845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554A4D">
        <w:rPr>
          <w:rFonts w:ascii="宋体" w:hAnsi="宋体" w:hint="eastAsia"/>
          <w:sz w:val="24"/>
        </w:rPr>
        <w:t>应</w:t>
      </w:r>
      <w:r>
        <w:rPr>
          <w:rFonts w:ascii="宋体" w:hAnsi="宋体" w:hint="eastAsia"/>
          <w:sz w:val="24"/>
        </w:rPr>
        <w:t>支付关联方托管费</w:t>
      </w:r>
      <w:r>
        <w:rPr>
          <w:rFonts w:ascii="宋体" w:hAnsi="宋体"/>
          <w:sz w:val="24"/>
        </w:rPr>
        <w:t>302,002.62</w:t>
      </w:r>
      <w:r>
        <w:rPr>
          <w:rFonts w:ascii="宋体" w:hAnsi="宋体" w:hint="eastAsia"/>
          <w:sz w:val="24"/>
        </w:rPr>
        <w:t>元，</w:t>
      </w:r>
      <w:r w:rsidR="00554A4D">
        <w:rPr>
          <w:rFonts w:ascii="宋体" w:hAnsi="宋体" w:hint="eastAsia"/>
          <w:sz w:val="24"/>
        </w:rPr>
        <w:t>应</w:t>
      </w:r>
      <w:r>
        <w:rPr>
          <w:rFonts w:ascii="宋体" w:hAnsi="宋体" w:hint="eastAsia"/>
          <w:sz w:val="24"/>
        </w:rPr>
        <w:t>支付关联方代销费</w:t>
      </w:r>
      <w:r>
        <w:rPr>
          <w:rFonts w:ascii="宋体" w:hAnsi="宋体"/>
          <w:sz w:val="24"/>
        </w:rPr>
        <w:t>2,956,641.53</w:t>
      </w:r>
      <w:r>
        <w:rPr>
          <w:rFonts w:ascii="宋体" w:hAnsi="宋体" w:hint="eastAsia"/>
          <w:sz w:val="24"/>
        </w:rPr>
        <w:t>元。</w:t>
      </w:r>
    </w:p>
    <w:p w:rsidR="000845C8" w:rsidRDefault="000845C8" w:rsidP="000845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0845C8" w:rsidRDefault="000845C8" w:rsidP="000845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9303EA" w:rsidRPr="000845C8" w:rsidRDefault="009303EA">
      <w:pPr>
        <w:pStyle w:val="dazhangjie"/>
        <w:rPr>
          <w:b/>
          <w:bCs/>
          <w:color w:val="000000"/>
        </w:rPr>
      </w:pPr>
    </w:p>
    <w:p w:rsidR="009303EA" w:rsidRDefault="009303EA">
      <w:pPr>
        <w:pStyle w:val="dazhangjie"/>
        <w:rPr>
          <w:b/>
          <w:bCs/>
          <w:color w:val="000000"/>
        </w:rPr>
      </w:pPr>
    </w:p>
    <w:p w:rsidR="00300F63" w:rsidRDefault="00300F63">
      <w:pPr>
        <w:widowControl/>
        <w:jc w:val="left"/>
        <w:rPr>
          <w:color w:val="000000"/>
        </w:rPr>
      </w:pPr>
    </w:p>
    <w:p w:rsidR="00300F63" w:rsidRDefault="00D71AA1">
      <w:pPr>
        <w:pStyle w:val="biaogeright"/>
        <w:rPr>
          <w:rFonts w:hAnsi="Calibri"/>
          <w:b/>
          <w:bCs/>
          <w:color w:val="000000"/>
        </w:rPr>
      </w:pPr>
      <w:r>
        <w:rPr>
          <w:rFonts w:hAnsi="Calibri" w:hint="eastAsia"/>
          <w:b/>
          <w:bCs/>
          <w:color w:val="000000"/>
        </w:rPr>
        <w:t>南银理财有限责任公司</w:t>
      </w:r>
    </w:p>
    <w:p w:rsidR="00300F63" w:rsidRDefault="00BA51EB" w:rsidP="00BA51EB">
      <w:pPr>
        <w:pStyle w:val="biaogeright"/>
        <w:rPr>
          <w:rFonts w:hAnsi="Calibri"/>
          <w:b/>
          <w:bCs/>
          <w:color w:val="000000"/>
        </w:rPr>
      </w:pPr>
      <w:r>
        <w:rPr>
          <w:rFonts w:hAnsi="Calibri" w:hint="eastAsia"/>
          <w:b/>
          <w:bCs/>
          <w:color w:val="000000"/>
        </w:rPr>
        <w:t>2022年9月30日</w:t>
      </w:r>
    </w:p>
    <w:sectPr w:rsidR="00300F63" w:rsidSect="00300F63">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CA4" w:rsidRDefault="00BF3CA4" w:rsidP="00300F63">
      <w:r>
        <w:separator/>
      </w:r>
    </w:p>
  </w:endnote>
  <w:endnote w:type="continuationSeparator" w:id="1">
    <w:p w:rsidR="00BF3CA4" w:rsidRDefault="00BF3CA4" w:rsidP="00300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63" w:rsidRDefault="009334C9">
    <w:pPr>
      <w:pStyle w:val="a4"/>
      <w:framePr w:wrap="around" w:vAnchor="text" w:hAnchor="margin" w:xAlign="center" w:y="1"/>
      <w:rPr>
        <w:rStyle w:val="a8"/>
      </w:rPr>
    </w:pPr>
    <w:r>
      <w:fldChar w:fldCharType="begin"/>
    </w:r>
    <w:r w:rsidR="00D71AA1">
      <w:rPr>
        <w:rStyle w:val="a8"/>
      </w:rPr>
      <w:instrText xml:space="preserve">PAGE  </w:instrText>
    </w:r>
    <w:r>
      <w:fldChar w:fldCharType="end"/>
    </w:r>
  </w:p>
  <w:p w:rsidR="00300F63" w:rsidRDefault="00300F6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63" w:rsidRDefault="00300F63">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CA4" w:rsidRDefault="00BF3CA4" w:rsidP="00300F63">
      <w:r>
        <w:separator/>
      </w:r>
    </w:p>
  </w:footnote>
  <w:footnote w:type="continuationSeparator" w:id="1">
    <w:p w:rsidR="00BF3CA4" w:rsidRDefault="00BF3CA4" w:rsidP="00300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63" w:rsidRDefault="00D71AA1">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4338"/>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29E73514"/>
    <w:rsid w:val="000060E5"/>
    <w:rsid w:val="0000765F"/>
    <w:rsid w:val="000102DF"/>
    <w:rsid w:val="0002042B"/>
    <w:rsid w:val="00030F14"/>
    <w:rsid w:val="00031AE6"/>
    <w:rsid w:val="00034FF6"/>
    <w:rsid w:val="0003738E"/>
    <w:rsid w:val="00044BFF"/>
    <w:rsid w:val="0005474A"/>
    <w:rsid w:val="00061725"/>
    <w:rsid w:val="00067886"/>
    <w:rsid w:val="00083AEE"/>
    <w:rsid w:val="000845C8"/>
    <w:rsid w:val="00093286"/>
    <w:rsid w:val="000A07E0"/>
    <w:rsid w:val="000B285B"/>
    <w:rsid w:val="000C44EE"/>
    <w:rsid w:val="000D5066"/>
    <w:rsid w:val="000D5F8E"/>
    <w:rsid w:val="000F6191"/>
    <w:rsid w:val="000F6CC0"/>
    <w:rsid w:val="0010610C"/>
    <w:rsid w:val="00110E09"/>
    <w:rsid w:val="00130CE8"/>
    <w:rsid w:val="001379F6"/>
    <w:rsid w:val="001447FF"/>
    <w:rsid w:val="00145A17"/>
    <w:rsid w:val="00152201"/>
    <w:rsid w:val="00153202"/>
    <w:rsid w:val="001553C2"/>
    <w:rsid w:val="0016590B"/>
    <w:rsid w:val="00176636"/>
    <w:rsid w:val="00183C84"/>
    <w:rsid w:val="00187131"/>
    <w:rsid w:val="00191E7C"/>
    <w:rsid w:val="001A0B70"/>
    <w:rsid w:val="001A339C"/>
    <w:rsid w:val="001C05F9"/>
    <w:rsid w:val="001C5395"/>
    <w:rsid w:val="001C733B"/>
    <w:rsid w:val="001D5A30"/>
    <w:rsid w:val="001D72A9"/>
    <w:rsid w:val="001E5767"/>
    <w:rsid w:val="001F4650"/>
    <w:rsid w:val="001F5321"/>
    <w:rsid w:val="002114A7"/>
    <w:rsid w:val="00211F26"/>
    <w:rsid w:val="0022064F"/>
    <w:rsid w:val="002263FC"/>
    <w:rsid w:val="00231AC2"/>
    <w:rsid w:val="0023550F"/>
    <w:rsid w:val="0024254D"/>
    <w:rsid w:val="00251657"/>
    <w:rsid w:val="00263ECA"/>
    <w:rsid w:val="0026513C"/>
    <w:rsid w:val="00274A7C"/>
    <w:rsid w:val="0027690A"/>
    <w:rsid w:val="00277848"/>
    <w:rsid w:val="002813D0"/>
    <w:rsid w:val="002900B6"/>
    <w:rsid w:val="00290D0E"/>
    <w:rsid w:val="00297F72"/>
    <w:rsid w:val="002A01E0"/>
    <w:rsid w:val="002A3AE9"/>
    <w:rsid w:val="002B2C71"/>
    <w:rsid w:val="002B36BD"/>
    <w:rsid w:val="002C196E"/>
    <w:rsid w:val="002D75D0"/>
    <w:rsid w:val="002E795C"/>
    <w:rsid w:val="002F3AEA"/>
    <w:rsid w:val="0030002B"/>
    <w:rsid w:val="00300F63"/>
    <w:rsid w:val="0030118D"/>
    <w:rsid w:val="00305EB3"/>
    <w:rsid w:val="00321CB7"/>
    <w:rsid w:val="00336DF9"/>
    <w:rsid w:val="003379A9"/>
    <w:rsid w:val="00341473"/>
    <w:rsid w:val="00347110"/>
    <w:rsid w:val="00350ADF"/>
    <w:rsid w:val="00351BEE"/>
    <w:rsid w:val="003534BD"/>
    <w:rsid w:val="00355623"/>
    <w:rsid w:val="00363F78"/>
    <w:rsid w:val="003714F9"/>
    <w:rsid w:val="00373526"/>
    <w:rsid w:val="0037726D"/>
    <w:rsid w:val="003867E5"/>
    <w:rsid w:val="003910CA"/>
    <w:rsid w:val="003A0419"/>
    <w:rsid w:val="003B5524"/>
    <w:rsid w:val="003B73EB"/>
    <w:rsid w:val="003C2E6D"/>
    <w:rsid w:val="003E06B2"/>
    <w:rsid w:val="003E09EA"/>
    <w:rsid w:val="003F0AC3"/>
    <w:rsid w:val="004035EA"/>
    <w:rsid w:val="00405F22"/>
    <w:rsid w:val="004073A6"/>
    <w:rsid w:val="004135D0"/>
    <w:rsid w:val="00424AB1"/>
    <w:rsid w:val="00426B51"/>
    <w:rsid w:val="00433F7F"/>
    <w:rsid w:val="004432ED"/>
    <w:rsid w:val="0044745E"/>
    <w:rsid w:val="00456251"/>
    <w:rsid w:val="00466076"/>
    <w:rsid w:val="00487993"/>
    <w:rsid w:val="00487AA2"/>
    <w:rsid w:val="0049537F"/>
    <w:rsid w:val="004C1607"/>
    <w:rsid w:val="004C7BE7"/>
    <w:rsid w:val="004D1BD0"/>
    <w:rsid w:val="004E0C32"/>
    <w:rsid w:val="004F4218"/>
    <w:rsid w:val="005069D8"/>
    <w:rsid w:val="00512301"/>
    <w:rsid w:val="0054267A"/>
    <w:rsid w:val="00545F71"/>
    <w:rsid w:val="00551558"/>
    <w:rsid w:val="00554A4D"/>
    <w:rsid w:val="00561127"/>
    <w:rsid w:val="0056162E"/>
    <w:rsid w:val="00567DB3"/>
    <w:rsid w:val="00586A85"/>
    <w:rsid w:val="005A6261"/>
    <w:rsid w:val="005B3434"/>
    <w:rsid w:val="005D5B56"/>
    <w:rsid w:val="005E775A"/>
    <w:rsid w:val="005F2C7B"/>
    <w:rsid w:val="005F4D04"/>
    <w:rsid w:val="006054F8"/>
    <w:rsid w:val="0061061C"/>
    <w:rsid w:val="00611E39"/>
    <w:rsid w:val="0062696F"/>
    <w:rsid w:val="00644987"/>
    <w:rsid w:val="00652B83"/>
    <w:rsid w:val="0065419A"/>
    <w:rsid w:val="00654220"/>
    <w:rsid w:val="00662613"/>
    <w:rsid w:val="00663B94"/>
    <w:rsid w:val="00665E81"/>
    <w:rsid w:val="00677F66"/>
    <w:rsid w:val="00684926"/>
    <w:rsid w:val="006B417D"/>
    <w:rsid w:val="006B7A7C"/>
    <w:rsid w:val="006C2B79"/>
    <w:rsid w:val="006C3B02"/>
    <w:rsid w:val="006D2006"/>
    <w:rsid w:val="006D4071"/>
    <w:rsid w:val="006E0D41"/>
    <w:rsid w:val="006E4E94"/>
    <w:rsid w:val="006F7C4D"/>
    <w:rsid w:val="007113CF"/>
    <w:rsid w:val="00714758"/>
    <w:rsid w:val="00730BEE"/>
    <w:rsid w:val="0073101E"/>
    <w:rsid w:val="00735153"/>
    <w:rsid w:val="00741092"/>
    <w:rsid w:val="00745421"/>
    <w:rsid w:val="00746812"/>
    <w:rsid w:val="0075032F"/>
    <w:rsid w:val="00755297"/>
    <w:rsid w:val="00766DD5"/>
    <w:rsid w:val="0079160E"/>
    <w:rsid w:val="00792973"/>
    <w:rsid w:val="00796898"/>
    <w:rsid w:val="007A3D0E"/>
    <w:rsid w:val="007A4219"/>
    <w:rsid w:val="007A6DDB"/>
    <w:rsid w:val="007C422D"/>
    <w:rsid w:val="007D0048"/>
    <w:rsid w:val="007E2E92"/>
    <w:rsid w:val="007E40DE"/>
    <w:rsid w:val="007E4E67"/>
    <w:rsid w:val="007F50C7"/>
    <w:rsid w:val="007F5739"/>
    <w:rsid w:val="0080200C"/>
    <w:rsid w:val="008036C2"/>
    <w:rsid w:val="00814110"/>
    <w:rsid w:val="0082561A"/>
    <w:rsid w:val="00831B46"/>
    <w:rsid w:val="00841242"/>
    <w:rsid w:val="00846B2E"/>
    <w:rsid w:val="008517A9"/>
    <w:rsid w:val="00872F6C"/>
    <w:rsid w:val="0088632D"/>
    <w:rsid w:val="00890186"/>
    <w:rsid w:val="008926F7"/>
    <w:rsid w:val="0089287C"/>
    <w:rsid w:val="0089542B"/>
    <w:rsid w:val="008A16ED"/>
    <w:rsid w:val="008A7510"/>
    <w:rsid w:val="008B1EB1"/>
    <w:rsid w:val="008B672F"/>
    <w:rsid w:val="008C103F"/>
    <w:rsid w:val="008C1DF8"/>
    <w:rsid w:val="008C68AE"/>
    <w:rsid w:val="008C78BD"/>
    <w:rsid w:val="008E165F"/>
    <w:rsid w:val="008E3B3F"/>
    <w:rsid w:val="008E5CC6"/>
    <w:rsid w:val="008F0C19"/>
    <w:rsid w:val="008F342A"/>
    <w:rsid w:val="00900D90"/>
    <w:rsid w:val="00904912"/>
    <w:rsid w:val="00916D74"/>
    <w:rsid w:val="009216A4"/>
    <w:rsid w:val="00924460"/>
    <w:rsid w:val="009303EA"/>
    <w:rsid w:val="009334C9"/>
    <w:rsid w:val="009354D6"/>
    <w:rsid w:val="009439D9"/>
    <w:rsid w:val="00964838"/>
    <w:rsid w:val="00970A98"/>
    <w:rsid w:val="00970F7B"/>
    <w:rsid w:val="00976E19"/>
    <w:rsid w:val="00981ECB"/>
    <w:rsid w:val="00983B6A"/>
    <w:rsid w:val="009964B2"/>
    <w:rsid w:val="009C781F"/>
    <w:rsid w:val="009D3E39"/>
    <w:rsid w:val="009E4F4B"/>
    <w:rsid w:val="009E6170"/>
    <w:rsid w:val="00A0243E"/>
    <w:rsid w:val="00A40E20"/>
    <w:rsid w:val="00A4484F"/>
    <w:rsid w:val="00A528DC"/>
    <w:rsid w:val="00A60E33"/>
    <w:rsid w:val="00A6112A"/>
    <w:rsid w:val="00A76D4B"/>
    <w:rsid w:val="00A77C47"/>
    <w:rsid w:val="00A820B9"/>
    <w:rsid w:val="00A9119C"/>
    <w:rsid w:val="00AA2969"/>
    <w:rsid w:val="00AA4549"/>
    <w:rsid w:val="00AB0A11"/>
    <w:rsid w:val="00AB0CFC"/>
    <w:rsid w:val="00AB1296"/>
    <w:rsid w:val="00AB6691"/>
    <w:rsid w:val="00AC5144"/>
    <w:rsid w:val="00AD3F7A"/>
    <w:rsid w:val="00AD6FA5"/>
    <w:rsid w:val="00AD77C5"/>
    <w:rsid w:val="00AE0098"/>
    <w:rsid w:val="00AE3F2E"/>
    <w:rsid w:val="00AE519B"/>
    <w:rsid w:val="00AF6377"/>
    <w:rsid w:val="00B04E6E"/>
    <w:rsid w:val="00B05543"/>
    <w:rsid w:val="00B13014"/>
    <w:rsid w:val="00B21B25"/>
    <w:rsid w:val="00B261D2"/>
    <w:rsid w:val="00B32C5F"/>
    <w:rsid w:val="00B33B19"/>
    <w:rsid w:val="00B404E6"/>
    <w:rsid w:val="00B4360D"/>
    <w:rsid w:val="00B54409"/>
    <w:rsid w:val="00B54FC2"/>
    <w:rsid w:val="00B65042"/>
    <w:rsid w:val="00B66D74"/>
    <w:rsid w:val="00B67966"/>
    <w:rsid w:val="00B74DCA"/>
    <w:rsid w:val="00B82278"/>
    <w:rsid w:val="00B90204"/>
    <w:rsid w:val="00B96D3F"/>
    <w:rsid w:val="00BA2F89"/>
    <w:rsid w:val="00BA51EB"/>
    <w:rsid w:val="00BC3903"/>
    <w:rsid w:val="00BD06AF"/>
    <w:rsid w:val="00BD7297"/>
    <w:rsid w:val="00BE196A"/>
    <w:rsid w:val="00BE47E0"/>
    <w:rsid w:val="00BF3CA4"/>
    <w:rsid w:val="00BF75C8"/>
    <w:rsid w:val="00C1762E"/>
    <w:rsid w:val="00C30A48"/>
    <w:rsid w:val="00C35FA6"/>
    <w:rsid w:val="00C43741"/>
    <w:rsid w:val="00C457B8"/>
    <w:rsid w:val="00C52E56"/>
    <w:rsid w:val="00C57B86"/>
    <w:rsid w:val="00C640FB"/>
    <w:rsid w:val="00C65651"/>
    <w:rsid w:val="00C65F9E"/>
    <w:rsid w:val="00C817C6"/>
    <w:rsid w:val="00CB054E"/>
    <w:rsid w:val="00CB7CBA"/>
    <w:rsid w:val="00CC232E"/>
    <w:rsid w:val="00CC29AF"/>
    <w:rsid w:val="00CC52D7"/>
    <w:rsid w:val="00CC5637"/>
    <w:rsid w:val="00CD1D4C"/>
    <w:rsid w:val="00CE6471"/>
    <w:rsid w:val="00CF6C89"/>
    <w:rsid w:val="00D00661"/>
    <w:rsid w:val="00D0449D"/>
    <w:rsid w:val="00D12201"/>
    <w:rsid w:val="00D2360B"/>
    <w:rsid w:val="00D23AB6"/>
    <w:rsid w:val="00D50309"/>
    <w:rsid w:val="00D51AA9"/>
    <w:rsid w:val="00D640BE"/>
    <w:rsid w:val="00D642DB"/>
    <w:rsid w:val="00D64E3F"/>
    <w:rsid w:val="00D71AA1"/>
    <w:rsid w:val="00D7264A"/>
    <w:rsid w:val="00D84E43"/>
    <w:rsid w:val="00DA123E"/>
    <w:rsid w:val="00DA4BE9"/>
    <w:rsid w:val="00DB0C2F"/>
    <w:rsid w:val="00DB2B6F"/>
    <w:rsid w:val="00DB3BF6"/>
    <w:rsid w:val="00DC31CC"/>
    <w:rsid w:val="00DC728A"/>
    <w:rsid w:val="00DD51B6"/>
    <w:rsid w:val="00DD597C"/>
    <w:rsid w:val="00DE4203"/>
    <w:rsid w:val="00DE67E4"/>
    <w:rsid w:val="00E00594"/>
    <w:rsid w:val="00E00BB2"/>
    <w:rsid w:val="00E01920"/>
    <w:rsid w:val="00E155DF"/>
    <w:rsid w:val="00E337E1"/>
    <w:rsid w:val="00E37494"/>
    <w:rsid w:val="00E41B5E"/>
    <w:rsid w:val="00E4515D"/>
    <w:rsid w:val="00E623AB"/>
    <w:rsid w:val="00E81EDF"/>
    <w:rsid w:val="00E9797A"/>
    <w:rsid w:val="00EA5D3D"/>
    <w:rsid w:val="00EB0FBF"/>
    <w:rsid w:val="00EB3650"/>
    <w:rsid w:val="00EB6C63"/>
    <w:rsid w:val="00EC4DE1"/>
    <w:rsid w:val="00ED4637"/>
    <w:rsid w:val="00EE0436"/>
    <w:rsid w:val="00EE7C80"/>
    <w:rsid w:val="00F21510"/>
    <w:rsid w:val="00F41324"/>
    <w:rsid w:val="00F42715"/>
    <w:rsid w:val="00F53663"/>
    <w:rsid w:val="00F609FD"/>
    <w:rsid w:val="00F66874"/>
    <w:rsid w:val="00F81345"/>
    <w:rsid w:val="00F859AB"/>
    <w:rsid w:val="00F939D0"/>
    <w:rsid w:val="00F950D0"/>
    <w:rsid w:val="00FA2C26"/>
    <w:rsid w:val="00FA460A"/>
    <w:rsid w:val="00FA650F"/>
    <w:rsid w:val="00FB2BCC"/>
    <w:rsid w:val="00FB6E8E"/>
    <w:rsid w:val="00FD0F03"/>
    <w:rsid w:val="022C2410"/>
    <w:rsid w:val="026D0131"/>
    <w:rsid w:val="03643C6B"/>
    <w:rsid w:val="037A1E29"/>
    <w:rsid w:val="0434409B"/>
    <w:rsid w:val="04EE43A7"/>
    <w:rsid w:val="05430913"/>
    <w:rsid w:val="066933CB"/>
    <w:rsid w:val="06CE78F2"/>
    <w:rsid w:val="08143E27"/>
    <w:rsid w:val="086A4C04"/>
    <w:rsid w:val="0B6F1F7D"/>
    <w:rsid w:val="0C047A86"/>
    <w:rsid w:val="0C673246"/>
    <w:rsid w:val="0C8D5453"/>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0955904"/>
    <w:rsid w:val="233002B5"/>
    <w:rsid w:val="236036FD"/>
    <w:rsid w:val="23A05440"/>
    <w:rsid w:val="23C50556"/>
    <w:rsid w:val="24960C0F"/>
    <w:rsid w:val="277874DD"/>
    <w:rsid w:val="2933258B"/>
    <w:rsid w:val="298E16C7"/>
    <w:rsid w:val="29E73514"/>
    <w:rsid w:val="2B0272A5"/>
    <w:rsid w:val="2B7C5C81"/>
    <w:rsid w:val="2B8B4394"/>
    <w:rsid w:val="2F132635"/>
    <w:rsid w:val="30077F05"/>
    <w:rsid w:val="3121340F"/>
    <w:rsid w:val="336668FA"/>
    <w:rsid w:val="36316B15"/>
    <w:rsid w:val="368076E6"/>
    <w:rsid w:val="388D7049"/>
    <w:rsid w:val="3A5E67F0"/>
    <w:rsid w:val="3AF80478"/>
    <w:rsid w:val="3C0E0AC1"/>
    <w:rsid w:val="3DE33F68"/>
    <w:rsid w:val="3FB22C0A"/>
    <w:rsid w:val="40897464"/>
    <w:rsid w:val="40E1302A"/>
    <w:rsid w:val="42BE08E7"/>
    <w:rsid w:val="433A3D7A"/>
    <w:rsid w:val="43A019F4"/>
    <w:rsid w:val="46A13001"/>
    <w:rsid w:val="4A9A51B9"/>
    <w:rsid w:val="4DEC7E75"/>
    <w:rsid w:val="4E276A76"/>
    <w:rsid w:val="4F8709AB"/>
    <w:rsid w:val="50C47F64"/>
    <w:rsid w:val="53300D28"/>
    <w:rsid w:val="55CC3E04"/>
    <w:rsid w:val="55E57CB6"/>
    <w:rsid w:val="564B4BD9"/>
    <w:rsid w:val="56696C12"/>
    <w:rsid w:val="57AD6E41"/>
    <w:rsid w:val="580B5AEB"/>
    <w:rsid w:val="5D1D443F"/>
    <w:rsid w:val="5E337017"/>
    <w:rsid w:val="5FBD11D0"/>
    <w:rsid w:val="61237A57"/>
    <w:rsid w:val="61B402D8"/>
    <w:rsid w:val="62342F4C"/>
    <w:rsid w:val="64F6329D"/>
    <w:rsid w:val="652A577F"/>
    <w:rsid w:val="65E55D8E"/>
    <w:rsid w:val="6815493E"/>
    <w:rsid w:val="6898111C"/>
    <w:rsid w:val="6983088A"/>
    <w:rsid w:val="6A485270"/>
    <w:rsid w:val="6B37137A"/>
    <w:rsid w:val="6C145AA4"/>
    <w:rsid w:val="6DFD23E8"/>
    <w:rsid w:val="6F307698"/>
    <w:rsid w:val="702B184D"/>
    <w:rsid w:val="704B76D3"/>
    <w:rsid w:val="709D748C"/>
    <w:rsid w:val="73193673"/>
    <w:rsid w:val="769D50BC"/>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0F6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300F63"/>
    <w:rPr>
      <w:sz w:val="18"/>
      <w:szCs w:val="18"/>
      <w:lang/>
    </w:rPr>
  </w:style>
  <w:style w:type="paragraph" w:styleId="a4">
    <w:name w:val="footer"/>
    <w:basedOn w:val="a"/>
    <w:link w:val="Char0"/>
    <w:uiPriority w:val="99"/>
    <w:unhideWhenUsed/>
    <w:qFormat/>
    <w:rsid w:val="00300F63"/>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300F63"/>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300F63"/>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300F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300F63"/>
  </w:style>
  <w:style w:type="paragraph" w:customStyle="1" w:styleId="zhongyaotishi">
    <w:name w:val="zhongyaotishi"/>
    <w:basedOn w:val="a"/>
    <w:qFormat/>
    <w:rsid w:val="00300F6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300F6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300F63"/>
    <w:pPr>
      <w:widowControl w:val="0"/>
      <w:jc w:val="center"/>
    </w:pPr>
    <w:rPr>
      <w:kern w:val="2"/>
      <w:sz w:val="33"/>
      <w:szCs w:val="22"/>
    </w:rPr>
  </w:style>
  <w:style w:type="paragraph" w:customStyle="1" w:styleId="neirong">
    <w:name w:val="neirong"/>
    <w:basedOn w:val="a"/>
    <w:qFormat/>
    <w:rsid w:val="00300F6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300F6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0F63"/>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300F6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00F6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300F63"/>
    <w:pPr>
      <w:widowControl w:val="0"/>
    </w:pPr>
    <w:rPr>
      <w:kern w:val="2"/>
      <w:sz w:val="21"/>
      <w:szCs w:val="22"/>
    </w:rPr>
  </w:style>
  <w:style w:type="paragraph" w:customStyle="1" w:styleId="biaogecenter">
    <w:name w:val="biaoge_center"/>
    <w:basedOn w:val="a"/>
    <w:qFormat/>
    <w:rsid w:val="00300F6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300F63"/>
    <w:pPr>
      <w:jc w:val="both"/>
    </w:pPr>
    <w:rPr>
      <w:kern w:val="2"/>
      <w:sz w:val="21"/>
      <w:szCs w:val="21"/>
    </w:rPr>
  </w:style>
  <w:style w:type="paragraph" w:customStyle="1" w:styleId="biaogeright1">
    <w:name w:val="biaoge_right1"/>
    <w:basedOn w:val="a"/>
    <w:qFormat/>
    <w:rsid w:val="00300F6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0F6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300F6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300F63"/>
    <w:rPr>
      <w:kern w:val="2"/>
      <w:sz w:val="18"/>
      <w:szCs w:val="18"/>
    </w:rPr>
  </w:style>
  <w:style w:type="character" w:customStyle="1" w:styleId="Char0">
    <w:name w:val="页脚 Char"/>
    <w:link w:val="a4"/>
    <w:uiPriority w:val="99"/>
    <w:semiHidden/>
    <w:qFormat/>
    <w:locked/>
    <w:rsid w:val="00300F63"/>
    <w:rPr>
      <w:rFonts w:ascii="Times New Roman" w:hAnsi="Times New Roman" w:cs="Times New Roman" w:hint="default"/>
      <w:sz w:val="18"/>
      <w:szCs w:val="18"/>
    </w:rPr>
  </w:style>
  <w:style w:type="character" w:customStyle="1" w:styleId="Char1">
    <w:name w:val="页眉 Char"/>
    <w:link w:val="a5"/>
    <w:uiPriority w:val="99"/>
    <w:semiHidden/>
    <w:qFormat/>
    <w:locked/>
    <w:rsid w:val="00300F63"/>
    <w:rPr>
      <w:rFonts w:ascii="Times New Roman" w:hAnsi="Times New Roman" w:cs="Times New Roman" w:hint="default"/>
      <w:sz w:val="18"/>
      <w:szCs w:val="18"/>
    </w:rPr>
  </w:style>
  <w:style w:type="table" w:customStyle="1" w:styleId="dqbgxx">
    <w:name w:val="dqbgxx"/>
    <w:basedOn w:val="a1"/>
    <w:qFormat/>
    <w:rsid w:val="00300F63"/>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300F63"/>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300F63"/>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49</cp:revision>
  <dcterms:created xsi:type="dcterms:W3CDTF">2021-06-30T07:28:00Z</dcterms:created>
  <dcterms:modified xsi:type="dcterms:W3CDTF">2022-10-20T05:24:00Z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