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AB74D8">
      <w:pPr>
        <w:pStyle w:val="dazhangjie"/>
        <w:spacing w:before="240" w:after="120"/>
        <w:rPr>
          <w:rFonts w:ascii="黑体" w:eastAsia="黑体"/>
          <w:b/>
          <w:bCs/>
          <w:color w:val="000000"/>
          <w:sz w:val="36"/>
        </w:rPr>
      </w:pPr>
      <w:r w:rsidRPr="00AB74D8">
        <w:rPr>
          <w:rFonts w:ascii="黑体" w:eastAsia="黑体" w:hint="eastAsia"/>
          <w:b/>
          <w:bCs/>
          <w:color w:val="000000"/>
          <w:sz w:val="36"/>
        </w:rPr>
        <w:t>南银理财珠联璧合鑫逸稳一年56期封闭式公募人民币理财产品</w:t>
      </w:r>
    </w:p>
    <w:p w:rsidR="00452D7E" w:rsidRDefault="00587A2E">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AB74D8">
            <w:pPr>
              <w:pStyle w:val="biaogeleft"/>
              <w:wordWrap w:val="0"/>
            </w:pPr>
            <w:r w:rsidRPr="00AB74D8">
              <w:rPr>
                <w:rFonts w:hint="eastAsia"/>
              </w:rPr>
              <w:t>南银理财珠联璧合鑫逸稳一年56期封闭式公募人民币理财产品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AB74D8">
            <w:pPr>
              <w:pStyle w:val="biaogeleft"/>
              <w:wordWrap w:val="0"/>
            </w:pPr>
            <w:r w:rsidRPr="00AB74D8">
              <w:t>Z7003222000026</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AB74D8" w:rsidP="00E16019">
            <w:pPr>
              <w:pStyle w:val="biaogeleft"/>
              <w:wordWrap w:val="0"/>
              <w:rPr>
                <w:color w:val="000000"/>
              </w:rPr>
            </w:pPr>
            <w:r w:rsidRPr="00AB74D8">
              <w:rPr>
                <w:rFonts w:hint="eastAsia"/>
                <w:color w:val="000000"/>
              </w:rPr>
              <w:t>2022年04月20日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587A2E">
            <w:pPr>
              <w:pStyle w:val="biaogeleft"/>
              <w:wordWrap w:val="0"/>
            </w:pPr>
            <w:r>
              <w:t>68,202,219.00份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BA5A9B" w:rsidP="0013417A">
            <w:pPr>
              <w:pStyle w:val="biaogeleft"/>
              <w:wordWrap w:val="0"/>
              <w:rPr>
                <w:color w:val="000000"/>
              </w:rPr>
            </w:pPr>
            <w:r w:rsidRPr="00BA5A9B">
              <w:rPr>
                <w:rFonts w:hint="eastAsia"/>
                <w:color w:val="000000"/>
              </w:rPr>
              <w:t>鑫元基金管理有限公司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452D7E">
        <w:tc>
          <w:tcPr>
            <w:tcW w:w="4135" w:type="dxa"/>
            <w:noWrap/>
            <w:vAlign w:val="center"/>
          </w:tcPr>
          <w:p w:rsidR="00452D7E" w:rsidRDefault="0035273C">
            <w:pPr>
              <w:pStyle w:val="a6"/>
              <w:wordWrap w:val="0"/>
              <w:jc w:val="center"/>
              <w:rPr>
                <w:b/>
                <w:bCs/>
                <w:color w:val="000000"/>
              </w:rPr>
            </w:pPr>
            <w:r>
              <w:rPr>
                <w:rFonts w:hint="eastAsia"/>
                <w:b/>
                <w:bCs/>
                <w:color w:val="000000"/>
              </w:rPr>
              <w:t>主要财务指标</w:t>
            </w:r>
          </w:p>
        </w:tc>
        <w:tc>
          <w:tcPr>
            <w:tcW w:w="5187" w:type="dxa"/>
            <w:noWrap/>
          </w:tcPr>
          <w:p w:rsidR="00452D7E" w:rsidRDefault="00587A2E" w:rsidP="008D3E3B">
            <w:pPr>
              <w:pStyle w:val="zhangjiep"/>
              <w:jc w:val="center"/>
              <w:rPr>
                <w:b/>
                <w:bCs/>
                <w:color w:val="000000"/>
              </w:rPr>
            </w:pPr>
            <w:r>
              <w:rPr>
                <w:rFonts w:hint="eastAsia"/>
              </w:rPr>
              <w:t>报告期（</w:t>
            </w:r>
            <w:r>
              <w:t>2022年7月1日 - 2022年9月30日）</w:t>
            </w:r>
          </w:p>
        </w:tc>
      </w:tr>
      <w:tr w:rsidR="00452D7E">
        <w:tc>
          <w:tcPr>
            <w:tcW w:w="4135" w:type="dxa"/>
            <w:noWrap/>
            <w:vAlign w:val="center"/>
          </w:tcPr>
          <w:p w:rsidR="00452D7E" w:rsidRDefault="0035273C">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452D7E" w:rsidRDefault="00587A2E">
            <w:pPr>
              <w:pStyle w:val="biaogeright"/>
              <w:jc w:val="center"/>
              <w:rPr>
                <w:b/>
                <w:bCs/>
                <w:color w:val="000000"/>
              </w:rPr>
            </w:pPr>
            <w:r>
              <w:rPr>
                <w:color w:val="000000"/>
              </w:rPr>
              <w:t>69,626,150.41</w:t>
            </w:r>
          </w:p>
        </w:tc>
      </w:tr>
      <w:tr w:rsidR="00452D7E">
        <w:tc>
          <w:tcPr>
            <w:tcW w:w="4135" w:type="dxa"/>
            <w:noWrap/>
            <w:vAlign w:val="center"/>
          </w:tcPr>
          <w:p w:rsidR="00452D7E" w:rsidRDefault="0035273C">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452D7E" w:rsidRDefault="00587A2E">
            <w:pPr>
              <w:pStyle w:val="biaogeright"/>
              <w:jc w:val="center"/>
              <w:rPr>
                <w:b/>
                <w:bCs/>
                <w:color w:val="000000"/>
              </w:rPr>
            </w:pPr>
            <w:r>
              <w:rPr>
                <w:color w:val="000000"/>
              </w:rPr>
              <w:t>1.0208</w:t>
            </w:r>
          </w:p>
        </w:tc>
      </w:tr>
      <w:tr w:rsidR="00452D7E">
        <w:tc>
          <w:tcPr>
            <w:tcW w:w="4135" w:type="dxa"/>
            <w:noWrap/>
            <w:vAlign w:val="center"/>
          </w:tcPr>
          <w:p w:rsidR="00452D7E" w:rsidRDefault="0035273C">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452D7E" w:rsidRDefault="00587A2E">
            <w:pPr>
              <w:pStyle w:val="biaogeright"/>
              <w:jc w:val="center"/>
              <w:rPr>
                <w:b/>
                <w:bCs/>
                <w:color w:val="000000"/>
              </w:rPr>
            </w:pPr>
            <w:r>
              <w:rPr>
                <w:color w:val="000000"/>
              </w:rPr>
              <w:t>1.0208</w:t>
            </w:r>
          </w:p>
        </w:tc>
      </w:tr>
    </w:tbl>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E86920" w:rsidRPr="001445C2" w:rsidRDefault="00E86920" w:rsidP="00E86920">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w:t>
      </w:r>
      <w:r w:rsidRPr="001445C2">
        <w:rPr>
          <w:rFonts w:ascii="宋体" w:hAnsi="宋体" w:hint="eastAsia"/>
          <w:color w:val="000000"/>
          <w:kern w:val="0"/>
          <w:sz w:val="24"/>
          <w:szCs w:val="24"/>
        </w:rPr>
        <w:lastRenderedPageBreak/>
        <w:t>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E86920" w:rsidRPr="001445C2" w:rsidRDefault="00E86920" w:rsidP="00E86920">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E86920" w:rsidRDefault="00E86920" w:rsidP="00E86920">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E86920" w:rsidRDefault="00E86920" w:rsidP="00E86920">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E86920" w:rsidRPr="00E663C4" w:rsidRDefault="00E86920" w:rsidP="00E86920">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587A2E" w:rsidRDefault="00587A2E">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截至报告期末,本产品份额净值为1.0208元。</w:t>
      </w:r>
    </w:p>
    <w:p w:rsidR="00452D7E" w:rsidRDefault="00452D7E">
      <w:pPr>
        <w:spacing w:line="360" w:lineRule="auto"/>
        <w:ind w:firstLineChars="200" w:firstLine="480"/>
        <w:rPr>
          <w:rFonts w:ascii="宋体" w:hAnsi="宋体"/>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A07C69">
        <w:tc>
          <w:tcPr>
            <w:tcW w:w="891" w:type="dxa"/>
            <w:tcBorders>
              <w:top w:val="single" w:sz="8" w:space="0" w:color="000000"/>
              <w:left w:val="single" w:sz="8" w:space="0" w:color="000000"/>
              <w:bottom w:val="single" w:sz="8" w:space="0" w:color="000000"/>
              <w:right w:val="single" w:sz="8" w:space="0" w:color="000000"/>
            </w:tcBorders>
            <w:noWrap/>
            <w:vAlign w:val="bottom"/>
          </w:tcPr>
          <w:p w:rsidR="00A07C69" w:rsidRDefault="00A07C69">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color w:val="000000"/>
              </w:rPr>
              <w:t>100.00%</w:t>
            </w:r>
          </w:p>
        </w:tc>
      </w:tr>
      <w:tr w:rsidR="00A07C69">
        <w:tc>
          <w:tcPr>
            <w:tcW w:w="891" w:type="dxa"/>
            <w:tcBorders>
              <w:top w:val="single" w:sz="8" w:space="0" w:color="000000"/>
              <w:left w:val="single" w:sz="8" w:space="0" w:color="000000"/>
              <w:bottom w:val="single" w:sz="8" w:space="0" w:color="000000"/>
              <w:right w:val="single" w:sz="8" w:space="0" w:color="000000"/>
            </w:tcBorders>
            <w:noWrap/>
            <w:vAlign w:val="bottom"/>
          </w:tcPr>
          <w:p w:rsidR="00A07C69" w:rsidRDefault="00A07C69">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color w:val="000000"/>
              </w:rPr>
              <w:t>0.00%</w:t>
            </w:r>
          </w:p>
        </w:tc>
      </w:tr>
      <w:tr w:rsidR="00A07C69">
        <w:tc>
          <w:tcPr>
            <w:tcW w:w="891" w:type="dxa"/>
            <w:tcBorders>
              <w:top w:val="single" w:sz="8" w:space="0" w:color="000000"/>
              <w:left w:val="single" w:sz="8" w:space="0" w:color="000000"/>
              <w:bottom w:val="single" w:sz="8" w:space="0" w:color="000000"/>
              <w:right w:val="single" w:sz="8" w:space="0" w:color="000000"/>
            </w:tcBorders>
            <w:noWrap/>
            <w:vAlign w:val="bottom"/>
          </w:tcPr>
          <w:p w:rsidR="00A07C69" w:rsidRDefault="00A07C69">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color w:val="000000"/>
              </w:rPr>
              <w:t>0.00%</w:t>
            </w:r>
          </w:p>
        </w:tc>
      </w:tr>
      <w:tr w:rsidR="00A07C69">
        <w:tc>
          <w:tcPr>
            <w:tcW w:w="891" w:type="dxa"/>
            <w:tcBorders>
              <w:top w:val="single" w:sz="8" w:space="0" w:color="000000"/>
              <w:left w:val="single" w:sz="8" w:space="0" w:color="000000"/>
              <w:bottom w:val="single" w:sz="8" w:space="0" w:color="000000"/>
              <w:right w:val="single" w:sz="8" w:space="0" w:color="000000"/>
            </w:tcBorders>
            <w:noWrap/>
            <w:vAlign w:val="bottom"/>
          </w:tcPr>
          <w:p w:rsidR="00A07C69" w:rsidRDefault="00A07C69">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color w:val="000000"/>
              </w:rPr>
              <w:t>0.00%</w:t>
            </w:r>
          </w:p>
        </w:tc>
      </w:tr>
      <w:tr w:rsidR="00A07C69">
        <w:tc>
          <w:tcPr>
            <w:tcW w:w="891" w:type="dxa"/>
            <w:tcBorders>
              <w:top w:val="single" w:sz="8" w:space="0" w:color="000000"/>
              <w:left w:val="single" w:sz="8" w:space="0" w:color="000000"/>
              <w:bottom w:val="single" w:sz="8" w:space="0" w:color="000000"/>
              <w:right w:val="single" w:sz="8" w:space="0" w:color="000000"/>
            </w:tcBorders>
            <w:noWrap/>
            <w:vAlign w:val="bottom"/>
          </w:tcPr>
          <w:p w:rsidR="00A07C69" w:rsidRDefault="00A07C69">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A07C69" w:rsidRPr="006D2803" w:rsidRDefault="00A07C69"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9052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05285" w:rsidRDefault="00905285">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05285" w:rsidRPr="00905285" w:rsidRDefault="00905285" w:rsidP="00905285">
            <w:pPr>
              <w:pStyle w:val="biaogecenter"/>
              <w:wordWrap w:val="0"/>
              <w:rPr>
                <w:color w:val="000000"/>
              </w:rPr>
            </w:pPr>
            <w:r w:rsidRPr="00905285">
              <w:rPr>
                <w:rFonts w:hint="eastAsia"/>
                <w:color w:val="000000"/>
              </w:rPr>
              <w:t>ZJQTT202202230001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05285" w:rsidRPr="00905285" w:rsidRDefault="00905285" w:rsidP="00905285">
            <w:pPr>
              <w:pStyle w:val="biaogecenter"/>
              <w:wordWrap w:val="0"/>
              <w:rPr>
                <w:color w:val="000000"/>
              </w:rPr>
            </w:pPr>
            <w:r w:rsidRPr="00905285">
              <w:rPr>
                <w:rFonts w:hint="eastAsia"/>
                <w:color w:val="000000"/>
              </w:rPr>
              <w:t>鑫元基金-鑫安利得59号集合资产管理计划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05285" w:rsidRPr="00905285" w:rsidRDefault="00905285" w:rsidP="00905285">
            <w:pPr>
              <w:pStyle w:val="biaogecenter"/>
              <w:wordWrap w:val="0"/>
              <w:rPr>
                <w:color w:val="000000"/>
              </w:rPr>
            </w:pPr>
            <w:r w:rsidRPr="00905285">
              <w:rPr>
                <w:rFonts w:hint="eastAsia"/>
                <w:color w:val="000000"/>
              </w:rPr>
              <w:t>35,647,430.68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05285" w:rsidRPr="00905285" w:rsidRDefault="00905285" w:rsidP="00905285">
            <w:pPr>
              <w:pStyle w:val="biaogecenter"/>
              <w:wordWrap w:val="0"/>
              <w:rPr>
                <w:color w:val="000000"/>
              </w:rPr>
            </w:pPr>
            <w:r w:rsidRPr="00905285">
              <w:rPr>
                <w:rFonts w:hint="eastAsia"/>
                <w:color w:val="000000"/>
              </w:rPr>
              <w:t>51.20</w:t>
            </w:r>
          </w:p>
        </w:tc>
      </w:tr>
      <w:tr w:rsidR="0090528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905285" w:rsidRDefault="00905285">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905285" w:rsidRPr="00905285" w:rsidRDefault="00905285" w:rsidP="00905285">
            <w:pPr>
              <w:pStyle w:val="biaogecenter"/>
              <w:wordWrap w:val="0"/>
              <w:rPr>
                <w:color w:val="000000"/>
              </w:rPr>
            </w:pPr>
            <w:r w:rsidRPr="00905285">
              <w:rPr>
                <w:rFonts w:hint="eastAsia"/>
                <w:color w:val="000000"/>
              </w:rPr>
              <w:t>22088535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905285" w:rsidRPr="00905285" w:rsidRDefault="00905285" w:rsidP="00905285">
            <w:pPr>
              <w:pStyle w:val="biaogecenter"/>
              <w:wordWrap w:val="0"/>
              <w:rPr>
                <w:color w:val="000000"/>
              </w:rPr>
            </w:pPr>
            <w:r w:rsidRPr="00905285">
              <w:rPr>
                <w:rFonts w:hint="eastAsia"/>
                <w:color w:val="000000"/>
              </w:rPr>
              <w:t>22宁波象港03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905285" w:rsidRPr="00905285" w:rsidRDefault="00905285" w:rsidP="00905285">
            <w:pPr>
              <w:pStyle w:val="biaogecenter"/>
              <w:wordWrap w:val="0"/>
              <w:rPr>
                <w:color w:val="000000"/>
              </w:rPr>
            </w:pPr>
            <w:r w:rsidRPr="00905285">
              <w:rPr>
                <w:rFonts w:hint="eastAsia"/>
                <w:color w:val="000000"/>
              </w:rPr>
              <w:t>33,000,000.00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905285" w:rsidRPr="00905285" w:rsidRDefault="00905285" w:rsidP="00905285">
            <w:pPr>
              <w:pStyle w:val="biaogecenter"/>
              <w:wordWrap w:val="0"/>
              <w:rPr>
                <w:color w:val="000000"/>
              </w:rPr>
            </w:pPr>
            <w:r w:rsidRPr="00905285">
              <w:rPr>
                <w:rFonts w:hint="eastAsia"/>
                <w:color w:val="000000"/>
              </w:rPr>
              <w:t>47.40</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lastRenderedPageBreak/>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006"/>
        <w:gridCol w:w="1417"/>
        <w:gridCol w:w="961"/>
        <w:gridCol w:w="1874"/>
        <w:gridCol w:w="1276"/>
        <w:gridCol w:w="851"/>
      </w:tblGrid>
      <w:tr w:rsidR="00452D7E" w:rsidTr="006A2AC6">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00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6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874"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B27154"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B27154" w:rsidRDefault="00B27154">
            <w:pPr>
              <w:pStyle w:val="biaogecenter"/>
              <w:rPr>
                <w:rFonts w:hAnsi="Calibri"/>
                <w:shd w:val="clear" w:color="auto" w:fill="FFFFFF"/>
              </w:rPr>
            </w:pPr>
            <w:r>
              <w:rPr>
                <w:rFonts w:hAnsi="Calibri" w:hint="eastAsia"/>
                <w:shd w:val="clear" w:color="auto" w:fill="FFFFFF"/>
              </w:rPr>
              <w:t>1</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B27154" w:rsidRPr="00B27154" w:rsidRDefault="00B27154" w:rsidP="00B27154">
            <w:pPr>
              <w:pStyle w:val="biaogecenter"/>
              <w:wordWrap w:val="0"/>
              <w:rPr>
                <w:shd w:val="clear" w:color="auto" w:fill="FFFFFF"/>
              </w:rPr>
            </w:pPr>
            <w:r w:rsidRPr="00B27154">
              <w:rPr>
                <w:rFonts w:hint="eastAsia"/>
                <w:shd w:val="clear" w:color="auto" w:fill="FFFFFF"/>
              </w:rPr>
              <w:t>宁波象港开发控股集团有限公司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B27154" w:rsidRPr="00B27154" w:rsidRDefault="00B27154" w:rsidP="00B27154">
            <w:pPr>
              <w:pStyle w:val="biaogecenter"/>
              <w:wordWrap w:val="0"/>
              <w:rPr>
                <w:shd w:val="clear" w:color="auto" w:fill="FFFFFF"/>
              </w:rPr>
            </w:pPr>
            <w:r w:rsidRPr="00B27154">
              <w:rPr>
                <w:rFonts w:hint="eastAsia"/>
                <w:shd w:val="clear" w:color="auto" w:fill="FFFFFF"/>
              </w:rPr>
              <w:t>22宁波象港03</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B27154" w:rsidRPr="00B27154" w:rsidRDefault="00B27154" w:rsidP="00B27154">
            <w:pPr>
              <w:pStyle w:val="biaogecenter"/>
              <w:wordWrap w:val="0"/>
              <w:rPr>
                <w:shd w:val="clear" w:color="auto" w:fill="FFFFFF"/>
              </w:rPr>
            </w:pPr>
            <w:r w:rsidRPr="00B27154">
              <w:rPr>
                <w:rFonts w:hint="eastAsia"/>
                <w:shd w:val="clear" w:color="auto" w:fill="FFFFFF"/>
              </w:rPr>
              <w:t>208天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B27154" w:rsidRPr="00B27154" w:rsidRDefault="00B27154" w:rsidP="00B27154">
            <w:pPr>
              <w:pStyle w:val="biaogecenter"/>
              <w:wordWrap w:val="0"/>
              <w:rPr>
                <w:shd w:val="clear" w:color="auto" w:fill="FFFFFF"/>
              </w:rPr>
            </w:pPr>
            <w:r w:rsidRPr="00B27154">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B27154" w:rsidRPr="00B27154" w:rsidRDefault="00B27154" w:rsidP="00B27154">
            <w:pPr>
              <w:pStyle w:val="biaogecenter"/>
              <w:wordWrap w:val="0"/>
              <w:rPr>
                <w:shd w:val="clear" w:color="auto" w:fill="FFFFFF"/>
              </w:rPr>
            </w:pPr>
            <w:r w:rsidRPr="00B27154">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B27154" w:rsidRPr="00B27154" w:rsidRDefault="00B27154" w:rsidP="00B27154">
            <w:pPr>
              <w:pStyle w:val="biaogecenter"/>
              <w:wordWrap w:val="0"/>
              <w:rPr>
                <w:shd w:val="clear" w:color="auto" w:fill="FFFFFF"/>
              </w:rPr>
            </w:pPr>
            <w:r w:rsidRPr="00B27154">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rsidTr="00AB74D8">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t>序号</w:t>
            </w:r>
          </w:p>
        </w:tc>
        <w:tc>
          <w:tcPr>
            <w:tcW w:w="67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48"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AB74D8" w:rsidTr="00AB74D8">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AB74D8" w:rsidRDefault="00AB74D8">
            <w:pPr>
              <w:pStyle w:val="biaogecenter"/>
              <w:wordWrap w:val="0"/>
              <w:rPr>
                <w:shd w:val="clear" w:color="auto" w:fill="FFFFFF"/>
              </w:rPr>
            </w:pPr>
            <w:r>
              <w:rPr>
                <w:rFonts w:hAnsi="Calibri" w:hint="eastAsia"/>
                <w:shd w:val="clear" w:color="auto" w:fill="FFFFFF"/>
              </w:rPr>
              <w:t>1</w:t>
            </w:r>
          </w:p>
        </w:tc>
        <w:tc>
          <w:tcPr>
            <w:tcW w:w="671" w:type="pct"/>
            <w:tcBorders>
              <w:top w:val="single" w:sz="8" w:space="0" w:color="000000"/>
              <w:left w:val="single" w:sz="8" w:space="0" w:color="000000"/>
              <w:bottom w:val="single" w:sz="8" w:space="0" w:color="000000"/>
              <w:right w:val="single" w:sz="8" w:space="0" w:color="000000"/>
            </w:tcBorders>
            <w:noWrap/>
            <w:vAlign w:val="bottom"/>
          </w:tcPr>
          <w:p w:rsidR="00AB74D8" w:rsidRDefault="00AB74D8">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AB74D8" w:rsidRPr="00AB74D8" w:rsidRDefault="00AB74D8" w:rsidP="00AB74D8">
            <w:pPr>
              <w:pStyle w:val="biaogecenter"/>
              <w:wordWrap w:val="0"/>
              <w:rPr>
                <w:shd w:val="clear" w:color="auto" w:fill="FFFFFF"/>
              </w:rPr>
            </w:pPr>
            <w:r w:rsidRPr="00AB74D8">
              <w:rPr>
                <w:rFonts w:hint="eastAsia"/>
                <w:shd w:val="clear" w:color="auto" w:fill="FFFFFF"/>
              </w:rPr>
              <w:t>0120040000000798</w:t>
            </w:r>
          </w:p>
        </w:tc>
        <w:tc>
          <w:tcPr>
            <w:tcW w:w="2048" w:type="pct"/>
            <w:tcBorders>
              <w:top w:val="single" w:sz="8" w:space="0" w:color="000000"/>
              <w:left w:val="single" w:sz="8" w:space="0" w:color="000000"/>
              <w:bottom w:val="single" w:sz="8" w:space="0" w:color="000000"/>
              <w:right w:val="single" w:sz="8" w:space="0" w:color="000000"/>
            </w:tcBorders>
            <w:noWrap/>
            <w:vAlign w:val="center"/>
          </w:tcPr>
          <w:p w:rsidR="00AB74D8" w:rsidRPr="00AB74D8" w:rsidRDefault="00AB74D8" w:rsidP="00AB74D8">
            <w:pPr>
              <w:pStyle w:val="biaogecenter"/>
              <w:wordWrap w:val="0"/>
              <w:rPr>
                <w:shd w:val="clear" w:color="auto" w:fill="FFFFFF"/>
              </w:rPr>
            </w:pPr>
            <w:r w:rsidRPr="00AB74D8">
              <w:rPr>
                <w:rFonts w:hint="eastAsia"/>
                <w:shd w:val="clear" w:color="auto" w:fill="FFFFFF"/>
              </w:rPr>
              <w:t>南银理财鑫逸稳一年56期</w:t>
            </w:r>
          </w:p>
        </w:tc>
        <w:tc>
          <w:tcPr>
            <w:tcW w:w="672" w:type="pct"/>
            <w:tcBorders>
              <w:top w:val="single" w:sz="8" w:space="0" w:color="000000"/>
              <w:left w:val="single" w:sz="8" w:space="0" w:color="000000"/>
              <w:bottom w:val="single" w:sz="8" w:space="0" w:color="000000"/>
              <w:right w:val="single" w:sz="8" w:space="0" w:color="000000"/>
            </w:tcBorders>
            <w:noWrap/>
            <w:vAlign w:val="center"/>
          </w:tcPr>
          <w:p w:rsidR="00AB74D8" w:rsidRDefault="00AB74D8">
            <w:pPr>
              <w:pStyle w:val="biaogecenter"/>
              <w:wordWrap w:val="0"/>
              <w:rPr>
                <w:shd w:val="clear" w:color="auto" w:fill="FFFFFF"/>
              </w:rPr>
            </w:pPr>
            <w:r>
              <w:rPr>
                <w:shd w:val="clear" w:color="auto" w:fill="FFFFFF"/>
              </w:rPr>
              <w:t>南京银行</w:t>
            </w:r>
          </w:p>
        </w:tc>
      </w:tr>
    </w:tbl>
    <w:p w:rsidR="00452D7E" w:rsidRDefault="00452D7E">
      <w:pPr>
        <w:pStyle w:val="dazhangjie"/>
        <w:rPr>
          <w:b/>
          <w:bCs/>
          <w:color w:val="000000"/>
        </w:rPr>
      </w:pPr>
    </w:p>
    <w:p w:rsidR="008E5DDF" w:rsidRPr="008E5DDF" w:rsidRDefault="008E5DDF" w:rsidP="008E5DDF">
      <w:pPr>
        <w:widowControl/>
        <w:spacing w:before="100" w:beforeAutospacing="1" w:after="100" w:afterAutospacing="1"/>
        <w:jc w:val="center"/>
        <w:rPr>
          <w:rFonts w:ascii="宋体" w:hAnsi="宋体"/>
          <w:b/>
          <w:bCs/>
          <w:color w:val="000000"/>
          <w:kern w:val="0"/>
          <w:sz w:val="24"/>
          <w:szCs w:val="24"/>
        </w:rPr>
      </w:pPr>
      <w:r w:rsidRPr="008E5DDF">
        <w:rPr>
          <w:rFonts w:ascii="宋体" w:hAnsi="Calibri" w:hint="eastAsia"/>
          <w:b/>
          <w:color w:val="000000"/>
          <w:kern w:val="0"/>
          <w:sz w:val="24"/>
          <w:szCs w:val="24"/>
        </w:rPr>
        <w:t>§</w:t>
      </w:r>
      <w:r w:rsidRPr="008E5DDF">
        <w:rPr>
          <w:rFonts w:ascii="宋体" w:hAnsi="Calibri"/>
          <w:b/>
          <w:color w:val="000000"/>
          <w:kern w:val="0"/>
          <w:sz w:val="24"/>
          <w:szCs w:val="24"/>
        </w:rPr>
        <w:t xml:space="preserve">6  </w:t>
      </w:r>
      <w:r w:rsidRPr="008E5DDF">
        <w:rPr>
          <w:rFonts w:ascii="宋体" w:hAnsi="宋体" w:hint="eastAsia"/>
          <w:b/>
          <w:bCs/>
          <w:color w:val="000000"/>
          <w:kern w:val="0"/>
          <w:sz w:val="24"/>
          <w:szCs w:val="24"/>
        </w:rPr>
        <w:t>关联交易情况</w:t>
      </w:r>
    </w:p>
    <w:p w:rsidR="008E5DDF" w:rsidRPr="008E5DDF" w:rsidRDefault="008E5DDF" w:rsidP="008E5D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8E5DDF">
        <w:rPr>
          <w:rFonts w:ascii="宋体" w:hAnsi="宋体" w:hint="eastAsia"/>
          <w:sz w:val="24"/>
          <w:szCs w:val="21"/>
        </w:rPr>
        <w:t>报告期内，产品投资于关联方发行的证券、关联方作为融资人的非标准化债权类资产业务交易金额</w:t>
      </w:r>
      <w:r w:rsidRPr="008E5DDF">
        <w:rPr>
          <w:rFonts w:ascii="宋体"/>
          <w:sz w:val="24"/>
          <w:szCs w:val="21"/>
        </w:rPr>
        <w:t>0.00</w:t>
      </w:r>
      <w:r w:rsidRPr="008E5DDF">
        <w:rPr>
          <w:rFonts w:ascii="宋体" w:hAnsi="宋体" w:hint="eastAsia"/>
          <w:sz w:val="24"/>
          <w:szCs w:val="21"/>
        </w:rPr>
        <w:t>元。</w:t>
      </w:r>
    </w:p>
    <w:p w:rsidR="008E5DDF" w:rsidRPr="008E5DDF" w:rsidRDefault="008E5DDF" w:rsidP="008E5D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8E5DDF">
        <w:rPr>
          <w:rFonts w:ascii="宋体" w:hAnsi="宋体" w:hint="eastAsia"/>
          <w:sz w:val="24"/>
          <w:szCs w:val="21"/>
        </w:rPr>
        <w:t>产品投资于关联方承销的证券交易金额</w:t>
      </w:r>
      <w:r w:rsidRPr="008E5DDF">
        <w:rPr>
          <w:rFonts w:ascii="宋体"/>
          <w:sz w:val="24"/>
          <w:szCs w:val="21"/>
        </w:rPr>
        <w:t>0.00</w:t>
      </w:r>
      <w:r w:rsidRPr="008E5DDF">
        <w:rPr>
          <w:rFonts w:ascii="宋体" w:hAnsi="宋体" w:hint="eastAsia"/>
          <w:sz w:val="24"/>
          <w:szCs w:val="21"/>
        </w:rPr>
        <w:t>元。</w:t>
      </w:r>
    </w:p>
    <w:p w:rsidR="008E5DDF" w:rsidRPr="008E5DDF" w:rsidRDefault="008E5DDF" w:rsidP="008E5D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8E5DDF">
        <w:rPr>
          <w:rFonts w:ascii="宋体" w:hAnsi="宋体" w:hint="eastAsia"/>
          <w:sz w:val="24"/>
          <w:szCs w:val="21"/>
        </w:rPr>
        <w:t>产品与关联方作为交易对手开展的投融资业务交易金额</w:t>
      </w:r>
      <w:r w:rsidRPr="008E5DDF">
        <w:rPr>
          <w:rFonts w:ascii="宋体"/>
          <w:sz w:val="24"/>
          <w:szCs w:val="21"/>
        </w:rPr>
        <w:t>0.00</w:t>
      </w:r>
      <w:r w:rsidRPr="008E5DDF">
        <w:rPr>
          <w:rFonts w:ascii="宋体" w:hAnsi="宋体" w:hint="eastAsia"/>
          <w:sz w:val="24"/>
          <w:szCs w:val="21"/>
        </w:rPr>
        <w:t>元。</w:t>
      </w:r>
    </w:p>
    <w:p w:rsidR="008E5DDF" w:rsidRPr="008E5DDF" w:rsidRDefault="008E5DDF" w:rsidP="008E5D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8E5DDF">
        <w:rPr>
          <w:rFonts w:ascii="宋体" w:hAnsi="宋体" w:hint="eastAsia"/>
          <w:sz w:val="24"/>
          <w:szCs w:val="21"/>
        </w:rPr>
        <w:t>产品投资关联方作为管理人的资产管理产品交易金额</w:t>
      </w:r>
      <w:r w:rsidRPr="008E5DDF">
        <w:rPr>
          <w:rFonts w:ascii="宋体"/>
          <w:sz w:val="24"/>
          <w:szCs w:val="21"/>
        </w:rPr>
        <w:t>0.00</w:t>
      </w:r>
      <w:r w:rsidRPr="008E5DDF">
        <w:rPr>
          <w:rFonts w:ascii="宋体" w:hAnsi="宋体" w:hint="eastAsia"/>
          <w:sz w:val="24"/>
          <w:szCs w:val="21"/>
        </w:rPr>
        <w:t>元。</w:t>
      </w:r>
    </w:p>
    <w:p w:rsidR="008E5DDF" w:rsidRPr="008E5DDF" w:rsidRDefault="008E5DDF" w:rsidP="008E5D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8E5DDF">
        <w:rPr>
          <w:rFonts w:ascii="宋体" w:hAnsi="宋体" w:hint="eastAsia"/>
          <w:sz w:val="24"/>
          <w:szCs w:val="21"/>
        </w:rPr>
        <w:t>产品</w:t>
      </w:r>
      <w:r w:rsidR="00BA7506">
        <w:rPr>
          <w:rFonts w:ascii="宋体" w:hAnsi="宋体" w:hint="eastAsia"/>
          <w:sz w:val="24"/>
          <w:szCs w:val="21"/>
        </w:rPr>
        <w:t>应</w:t>
      </w:r>
      <w:r w:rsidRPr="008E5DDF">
        <w:rPr>
          <w:rFonts w:ascii="宋体" w:hAnsi="宋体" w:hint="eastAsia"/>
          <w:sz w:val="24"/>
          <w:szCs w:val="21"/>
        </w:rPr>
        <w:t>支付关联方托管费</w:t>
      </w:r>
      <w:r w:rsidRPr="008E5DDF">
        <w:rPr>
          <w:rFonts w:ascii="宋体" w:hAnsi="宋体"/>
          <w:sz w:val="24"/>
          <w:szCs w:val="21"/>
        </w:rPr>
        <w:t>3,492.06</w:t>
      </w:r>
      <w:r w:rsidRPr="008E5DDF">
        <w:rPr>
          <w:rFonts w:ascii="宋体" w:hAnsi="宋体" w:hint="eastAsia"/>
          <w:sz w:val="24"/>
          <w:szCs w:val="21"/>
        </w:rPr>
        <w:t>元，</w:t>
      </w:r>
      <w:r w:rsidR="00BA7506">
        <w:rPr>
          <w:rFonts w:ascii="宋体" w:hAnsi="宋体" w:hint="eastAsia"/>
          <w:sz w:val="24"/>
          <w:szCs w:val="21"/>
        </w:rPr>
        <w:t>应</w:t>
      </w:r>
      <w:r w:rsidRPr="008E5DDF">
        <w:rPr>
          <w:rFonts w:ascii="宋体" w:hAnsi="宋体" w:hint="eastAsia"/>
          <w:sz w:val="24"/>
          <w:szCs w:val="21"/>
        </w:rPr>
        <w:t>支付关联方代销费</w:t>
      </w:r>
      <w:r w:rsidRPr="008E5DDF">
        <w:rPr>
          <w:rFonts w:ascii="宋体" w:hAnsi="宋体"/>
          <w:sz w:val="24"/>
          <w:szCs w:val="21"/>
        </w:rPr>
        <w:t>2,814.18</w:t>
      </w:r>
      <w:r w:rsidRPr="008E5DDF">
        <w:rPr>
          <w:rFonts w:ascii="宋体" w:hAnsi="宋体" w:hint="eastAsia"/>
          <w:sz w:val="24"/>
          <w:szCs w:val="21"/>
        </w:rPr>
        <w:t>元。</w:t>
      </w:r>
    </w:p>
    <w:p w:rsidR="008E5DDF" w:rsidRPr="008E5DDF" w:rsidRDefault="008E5DDF" w:rsidP="008E5D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8E5DDF">
        <w:rPr>
          <w:rFonts w:ascii="宋体" w:hAnsi="宋体" w:hint="eastAsia"/>
          <w:sz w:val="24"/>
          <w:szCs w:val="21"/>
        </w:rPr>
        <w:t>产品发生其他关联交易金额</w:t>
      </w:r>
      <w:r w:rsidRPr="008E5DDF">
        <w:rPr>
          <w:rFonts w:ascii="宋体"/>
          <w:sz w:val="24"/>
          <w:szCs w:val="21"/>
        </w:rPr>
        <w:t>0.00</w:t>
      </w:r>
      <w:r w:rsidRPr="008E5DDF">
        <w:rPr>
          <w:rFonts w:ascii="宋体" w:hAnsi="宋体" w:hint="eastAsia"/>
          <w:sz w:val="24"/>
          <w:szCs w:val="21"/>
        </w:rPr>
        <w:t>元。</w:t>
      </w:r>
    </w:p>
    <w:p w:rsidR="008E5DDF" w:rsidRPr="008E5DDF" w:rsidRDefault="008E5DDF" w:rsidP="008E5DD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8E5DDF">
        <w:rPr>
          <w:rFonts w:ascii="宋体" w:hAnsi="宋体" w:cs="宋体" w:hint="eastAsia"/>
          <w:color w:val="000000"/>
          <w:kern w:val="0"/>
          <w:sz w:val="24"/>
          <w:szCs w:val="24"/>
        </w:rPr>
        <w:t>报告期内，产品未发生重大关联交易。</w:t>
      </w:r>
    </w:p>
    <w:p w:rsidR="00452D7E" w:rsidRPr="008E5DDF" w:rsidRDefault="00452D7E">
      <w:pPr>
        <w:widowControl/>
        <w:jc w:val="left"/>
        <w:rPr>
          <w:rFonts w:ascii="宋体" w:hAnsi="宋体" w:cs="宋体"/>
          <w:color w:val="000000"/>
          <w:kern w:val="0"/>
          <w:sz w:val="24"/>
          <w:szCs w:val="24"/>
        </w:rPr>
      </w:pPr>
    </w:p>
    <w:p w:rsidR="00452D7E" w:rsidRDefault="00452D7E">
      <w:pPr>
        <w:widowControl/>
        <w:jc w:val="left"/>
        <w:rPr>
          <w:color w:val="000000"/>
        </w:rPr>
      </w:pPr>
    </w:p>
    <w:p w:rsidR="00452D7E" w:rsidRDefault="0035273C">
      <w:pPr>
        <w:pStyle w:val="biaogeright"/>
        <w:rPr>
          <w:rFonts w:hAnsi="Calibri"/>
          <w:b/>
          <w:bCs/>
          <w:color w:val="000000"/>
        </w:rPr>
      </w:pPr>
      <w:r>
        <w:rPr>
          <w:rFonts w:hAnsi="Calibri" w:hint="eastAsia"/>
          <w:b/>
          <w:bCs/>
          <w:color w:val="000000"/>
        </w:rPr>
        <w:t>南银理财有限责任公司</w:t>
      </w:r>
    </w:p>
    <w:p w:rsidR="00452D7E" w:rsidRDefault="00587A2E" w:rsidP="00587A2E">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26FB" w:rsidRDefault="000F26FB" w:rsidP="00452D7E">
      <w:r>
        <w:separator/>
      </w:r>
    </w:p>
  </w:endnote>
  <w:endnote w:type="continuationSeparator" w:id="1">
    <w:p w:rsidR="000F26FB" w:rsidRDefault="000F26FB"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F27834">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26FB" w:rsidRDefault="000F26FB" w:rsidP="00452D7E">
      <w:r>
        <w:separator/>
      </w:r>
    </w:p>
  </w:footnote>
  <w:footnote w:type="continuationSeparator" w:id="1">
    <w:p w:rsidR="000F26FB" w:rsidRDefault="000F26FB"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6386"/>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304CD"/>
    <w:rsid w:val="00030F14"/>
    <w:rsid w:val="00034FF6"/>
    <w:rsid w:val="000446FF"/>
    <w:rsid w:val="0004489F"/>
    <w:rsid w:val="00044BFF"/>
    <w:rsid w:val="00047180"/>
    <w:rsid w:val="0005474A"/>
    <w:rsid w:val="00061725"/>
    <w:rsid w:val="00062DF3"/>
    <w:rsid w:val="00067722"/>
    <w:rsid w:val="00067886"/>
    <w:rsid w:val="00073368"/>
    <w:rsid w:val="00077DEB"/>
    <w:rsid w:val="00093286"/>
    <w:rsid w:val="000A07E0"/>
    <w:rsid w:val="000B285B"/>
    <w:rsid w:val="000C294E"/>
    <w:rsid w:val="000C3D76"/>
    <w:rsid w:val="000C44EE"/>
    <w:rsid w:val="000D5066"/>
    <w:rsid w:val="000D5F8E"/>
    <w:rsid w:val="000E2DC9"/>
    <w:rsid w:val="000E2E42"/>
    <w:rsid w:val="000E4562"/>
    <w:rsid w:val="000F254E"/>
    <w:rsid w:val="000F26FB"/>
    <w:rsid w:val="000F39B2"/>
    <w:rsid w:val="000F6191"/>
    <w:rsid w:val="000F6CC0"/>
    <w:rsid w:val="0010610C"/>
    <w:rsid w:val="00110E09"/>
    <w:rsid w:val="001138D9"/>
    <w:rsid w:val="00125066"/>
    <w:rsid w:val="00130CE8"/>
    <w:rsid w:val="0013417A"/>
    <w:rsid w:val="00145A17"/>
    <w:rsid w:val="001508DF"/>
    <w:rsid w:val="00152201"/>
    <w:rsid w:val="001577F5"/>
    <w:rsid w:val="0016590B"/>
    <w:rsid w:val="00176636"/>
    <w:rsid w:val="00183C84"/>
    <w:rsid w:val="001A0B70"/>
    <w:rsid w:val="001A339C"/>
    <w:rsid w:val="001A637E"/>
    <w:rsid w:val="001B059F"/>
    <w:rsid w:val="001C05F9"/>
    <w:rsid w:val="001C07DF"/>
    <w:rsid w:val="001C0C56"/>
    <w:rsid w:val="001C5395"/>
    <w:rsid w:val="001D5A30"/>
    <w:rsid w:val="001D72A9"/>
    <w:rsid w:val="001F092C"/>
    <w:rsid w:val="001F4650"/>
    <w:rsid w:val="00202434"/>
    <w:rsid w:val="002114A7"/>
    <w:rsid w:val="00211F26"/>
    <w:rsid w:val="00217B0C"/>
    <w:rsid w:val="002263FC"/>
    <w:rsid w:val="0023550F"/>
    <w:rsid w:val="0024254D"/>
    <w:rsid w:val="00251657"/>
    <w:rsid w:val="0025237E"/>
    <w:rsid w:val="0026513C"/>
    <w:rsid w:val="00265CCA"/>
    <w:rsid w:val="00271FCB"/>
    <w:rsid w:val="002771FC"/>
    <w:rsid w:val="002813D0"/>
    <w:rsid w:val="00287123"/>
    <w:rsid w:val="002900B6"/>
    <w:rsid w:val="00290D0E"/>
    <w:rsid w:val="002A01E0"/>
    <w:rsid w:val="002A3AE9"/>
    <w:rsid w:val="002B36BD"/>
    <w:rsid w:val="002C196E"/>
    <w:rsid w:val="002D2F85"/>
    <w:rsid w:val="002D5FF8"/>
    <w:rsid w:val="002D75D0"/>
    <w:rsid w:val="002E2268"/>
    <w:rsid w:val="002E4C6D"/>
    <w:rsid w:val="002E795C"/>
    <w:rsid w:val="002F4102"/>
    <w:rsid w:val="0030118D"/>
    <w:rsid w:val="003101E0"/>
    <w:rsid w:val="0031695C"/>
    <w:rsid w:val="00321CB7"/>
    <w:rsid w:val="00327399"/>
    <w:rsid w:val="003273F4"/>
    <w:rsid w:val="00330B4E"/>
    <w:rsid w:val="003379A9"/>
    <w:rsid w:val="00347110"/>
    <w:rsid w:val="00350ADF"/>
    <w:rsid w:val="0035273C"/>
    <w:rsid w:val="00355623"/>
    <w:rsid w:val="0036553C"/>
    <w:rsid w:val="00373526"/>
    <w:rsid w:val="00374675"/>
    <w:rsid w:val="00381DC7"/>
    <w:rsid w:val="003867E5"/>
    <w:rsid w:val="00393899"/>
    <w:rsid w:val="003A0419"/>
    <w:rsid w:val="003B5524"/>
    <w:rsid w:val="003B73EB"/>
    <w:rsid w:val="003C2E6D"/>
    <w:rsid w:val="003D2852"/>
    <w:rsid w:val="003E09EA"/>
    <w:rsid w:val="003E10A3"/>
    <w:rsid w:val="003F0AC3"/>
    <w:rsid w:val="004035EA"/>
    <w:rsid w:val="00411486"/>
    <w:rsid w:val="004135D0"/>
    <w:rsid w:val="0041604F"/>
    <w:rsid w:val="004179EF"/>
    <w:rsid w:val="00426B51"/>
    <w:rsid w:val="00436354"/>
    <w:rsid w:val="00437338"/>
    <w:rsid w:val="004432ED"/>
    <w:rsid w:val="0044756F"/>
    <w:rsid w:val="00452D7E"/>
    <w:rsid w:val="00456251"/>
    <w:rsid w:val="00466076"/>
    <w:rsid w:val="0047463D"/>
    <w:rsid w:val="00487AA2"/>
    <w:rsid w:val="00494476"/>
    <w:rsid w:val="004961A5"/>
    <w:rsid w:val="004C1607"/>
    <w:rsid w:val="004C5EFC"/>
    <w:rsid w:val="004E0C32"/>
    <w:rsid w:val="00501437"/>
    <w:rsid w:val="0050223A"/>
    <w:rsid w:val="005069D8"/>
    <w:rsid w:val="005134CF"/>
    <w:rsid w:val="005154D7"/>
    <w:rsid w:val="00534769"/>
    <w:rsid w:val="0054267A"/>
    <w:rsid w:val="00542961"/>
    <w:rsid w:val="00545F71"/>
    <w:rsid w:val="0055575C"/>
    <w:rsid w:val="00560678"/>
    <w:rsid w:val="00561127"/>
    <w:rsid w:val="0056162E"/>
    <w:rsid w:val="00567529"/>
    <w:rsid w:val="00567DB3"/>
    <w:rsid w:val="00586A85"/>
    <w:rsid w:val="00587A2E"/>
    <w:rsid w:val="005B1336"/>
    <w:rsid w:val="005B3434"/>
    <w:rsid w:val="005C7B8F"/>
    <w:rsid w:val="005D5B56"/>
    <w:rsid w:val="005E7B32"/>
    <w:rsid w:val="005F2C7B"/>
    <w:rsid w:val="005F35FC"/>
    <w:rsid w:val="005F4D04"/>
    <w:rsid w:val="006054F8"/>
    <w:rsid w:val="0061061C"/>
    <w:rsid w:val="0062696F"/>
    <w:rsid w:val="00644987"/>
    <w:rsid w:val="0065419A"/>
    <w:rsid w:val="00654220"/>
    <w:rsid w:val="00654236"/>
    <w:rsid w:val="00654D9B"/>
    <w:rsid w:val="00663B94"/>
    <w:rsid w:val="00672F53"/>
    <w:rsid w:val="006765A5"/>
    <w:rsid w:val="00677F66"/>
    <w:rsid w:val="00684926"/>
    <w:rsid w:val="006A0FE1"/>
    <w:rsid w:val="006A2AC6"/>
    <w:rsid w:val="006B7A7C"/>
    <w:rsid w:val="006C3B02"/>
    <w:rsid w:val="006C4BFA"/>
    <w:rsid w:val="006C633A"/>
    <w:rsid w:val="006D2006"/>
    <w:rsid w:val="006D4071"/>
    <w:rsid w:val="006E0D41"/>
    <w:rsid w:val="006E4E94"/>
    <w:rsid w:val="006F7C4D"/>
    <w:rsid w:val="007113CF"/>
    <w:rsid w:val="0071180E"/>
    <w:rsid w:val="00714758"/>
    <w:rsid w:val="00730BEE"/>
    <w:rsid w:val="0073101E"/>
    <w:rsid w:val="00731E7E"/>
    <w:rsid w:val="00734796"/>
    <w:rsid w:val="00735153"/>
    <w:rsid w:val="00741092"/>
    <w:rsid w:val="00745421"/>
    <w:rsid w:val="00746812"/>
    <w:rsid w:val="00766DD5"/>
    <w:rsid w:val="007A07FF"/>
    <w:rsid w:val="007A37D9"/>
    <w:rsid w:val="007A4219"/>
    <w:rsid w:val="007C0BE5"/>
    <w:rsid w:val="007C422D"/>
    <w:rsid w:val="007D233D"/>
    <w:rsid w:val="007E2E92"/>
    <w:rsid w:val="007F5739"/>
    <w:rsid w:val="0080200C"/>
    <w:rsid w:val="008036C2"/>
    <w:rsid w:val="00814110"/>
    <w:rsid w:val="0082561A"/>
    <w:rsid w:val="00840DB7"/>
    <w:rsid w:val="00846B2E"/>
    <w:rsid w:val="008473F2"/>
    <w:rsid w:val="0088632D"/>
    <w:rsid w:val="00890186"/>
    <w:rsid w:val="008926F7"/>
    <w:rsid w:val="0089287C"/>
    <w:rsid w:val="008975C2"/>
    <w:rsid w:val="008A0BA0"/>
    <w:rsid w:val="008A7510"/>
    <w:rsid w:val="008B1EB1"/>
    <w:rsid w:val="008B2958"/>
    <w:rsid w:val="008B54DB"/>
    <w:rsid w:val="008C68AE"/>
    <w:rsid w:val="008C78BD"/>
    <w:rsid w:val="008D3E3B"/>
    <w:rsid w:val="008D5587"/>
    <w:rsid w:val="008E165F"/>
    <w:rsid w:val="008E3B3F"/>
    <w:rsid w:val="008E5DDF"/>
    <w:rsid w:val="008F0C19"/>
    <w:rsid w:val="008F342A"/>
    <w:rsid w:val="00900D90"/>
    <w:rsid w:val="00905285"/>
    <w:rsid w:val="00916D74"/>
    <w:rsid w:val="009354D6"/>
    <w:rsid w:val="00937E17"/>
    <w:rsid w:val="00953236"/>
    <w:rsid w:val="00962A80"/>
    <w:rsid w:val="00964542"/>
    <w:rsid w:val="00964838"/>
    <w:rsid w:val="00970A98"/>
    <w:rsid w:val="00981ECB"/>
    <w:rsid w:val="00983B6A"/>
    <w:rsid w:val="009964B2"/>
    <w:rsid w:val="009A4884"/>
    <w:rsid w:val="009A6044"/>
    <w:rsid w:val="009B6879"/>
    <w:rsid w:val="009C781F"/>
    <w:rsid w:val="009E6170"/>
    <w:rsid w:val="00A07C69"/>
    <w:rsid w:val="00A103D6"/>
    <w:rsid w:val="00A13DF0"/>
    <w:rsid w:val="00A265CE"/>
    <w:rsid w:val="00A4484F"/>
    <w:rsid w:val="00A5128A"/>
    <w:rsid w:val="00A55783"/>
    <w:rsid w:val="00A56791"/>
    <w:rsid w:val="00A60E33"/>
    <w:rsid w:val="00A76D4B"/>
    <w:rsid w:val="00A77C47"/>
    <w:rsid w:val="00A82B60"/>
    <w:rsid w:val="00A9119C"/>
    <w:rsid w:val="00A9205B"/>
    <w:rsid w:val="00AA0F98"/>
    <w:rsid w:val="00AA4549"/>
    <w:rsid w:val="00AB0A11"/>
    <w:rsid w:val="00AB0CFC"/>
    <w:rsid w:val="00AB3B06"/>
    <w:rsid w:val="00AB6691"/>
    <w:rsid w:val="00AB74D8"/>
    <w:rsid w:val="00AC5144"/>
    <w:rsid w:val="00AD3F7A"/>
    <w:rsid w:val="00AD4E29"/>
    <w:rsid w:val="00AD6FA5"/>
    <w:rsid w:val="00AD77C5"/>
    <w:rsid w:val="00AE0098"/>
    <w:rsid w:val="00AF6377"/>
    <w:rsid w:val="00B13014"/>
    <w:rsid w:val="00B14C0B"/>
    <w:rsid w:val="00B2244B"/>
    <w:rsid w:val="00B27154"/>
    <w:rsid w:val="00B33B19"/>
    <w:rsid w:val="00B404E6"/>
    <w:rsid w:val="00B4360D"/>
    <w:rsid w:val="00B52C6C"/>
    <w:rsid w:val="00B54409"/>
    <w:rsid w:val="00B55A91"/>
    <w:rsid w:val="00B56B6B"/>
    <w:rsid w:val="00B655A5"/>
    <w:rsid w:val="00B67966"/>
    <w:rsid w:val="00B74DCA"/>
    <w:rsid w:val="00B82278"/>
    <w:rsid w:val="00B96D3F"/>
    <w:rsid w:val="00BA2F89"/>
    <w:rsid w:val="00BA5A9B"/>
    <w:rsid w:val="00BA5CA3"/>
    <w:rsid w:val="00BA7506"/>
    <w:rsid w:val="00BA7D76"/>
    <w:rsid w:val="00BB2800"/>
    <w:rsid w:val="00BC3903"/>
    <w:rsid w:val="00BC73FF"/>
    <w:rsid w:val="00BD46AC"/>
    <w:rsid w:val="00BD6AFE"/>
    <w:rsid w:val="00BE47E0"/>
    <w:rsid w:val="00BE5604"/>
    <w:rsid w:val="00BF75C8"/>
    <w:rsid w:val="00C1762E"/>
    <w:rsid w:val="00C24B99"/>
    <w:rsid w:val="00C30A48"/>
    <w:rsid w:val="00C43741"/>
    <w:rsid w:val="00C4493B"/>
    <w:rsid w:val="00C457B8"/>
    <w:rsid w:val="00C52E56"/>
    <w:rsid w:val="00C55683"/>
    <w:rsid w:val="00C57B86"/>
    <w:rsid w:val="00C640FB"/>
    <w:rsid w:val="00C65651"/>
    <w:rsid w:val="00C8151A"/>
    <w:rsid w:val="00C845A0"/>
    <w:rsid w:val="00CB054E"/>
    <w:rsid w:val="00CC29AF"/>
    <w:rsid w:val="00CC52D7"/>
    <w:rsid w:val="00CD0264"/>
    <w:rsid w:val="00CD1D4C"/>
    <w:rsid w:val="00CE27F7"/>
    <w:rsid w:val="00CE790E"/>
    <w:rsid w:val="00CF0579"/>
    <w:rsid w:val="00CF1C17"/>
    <w:rsid w:val="00CF3F03"/>
    <w:rsid w:val="00CF6C89"/>
    <w:rsid w:val="00D0449D"/>
    <w:rsid w:val="00D0730F"/>
    <w:rsid w:val="00D2360B"/>
    <w:rsid w:val="00D23AB6"/>
    <w:rsid w:val="00D26011"/>
    <w:rsid w:val="00D325A9"/>
    <w:rsid w:val="00D50309"/>
    <w:rsid w:val="00D51AA9"/>
    <w:rsid w:val="00D7264A"/>
    <w:rsid w:val="00D842AC"/>
    <w:rsid w:val="00D84E43"/>
    <w:rsid w:val="00D90916"/>
    <w:rsid w:val="00D9756B"/>
    <w:rsid w:val="00DA4BE9"/>
    <w:rsid w:val="00DA6AA4"/>
    <w:rsid w:val="00DB0C2F"/>
    <w:rsid w:val="00DB3BF6"/>
    <w:rsid w:val="00DB78FB"/>
    <w:rsid w:val="00DC31CC"/>
    <w:rsid w:val="00DC728A"/>
    <w:rsid w:val="00DD2346"/>
    <w:rsid w:val="00DD3B16"/>
    <w:rsid w:val="00DD51B6"/>
    <w:rsid w:val="00DD5DDA"/>
    <w:rsid w:val="00DE02C6"/>
    <w:rsid w:val="00DE67E4"/>
    <w:rsid w:val="00DF3A35"/>
    <w:rsid w:val="00E00594"/>
    <w:rsid w:val="00E01920"/>
    <w:rsid w:val="00E155DF"/>
    <w:rsid w:val="00E16019"/>
    <w:rsid w:val="00E248A6"/>
    <w:rsid w:val="00E25786"/>
    <w:rsid w:val="00E278E3"/>
    <w:rsid w:val="00E300AE"/>
    <w:rsid w:val="00E31953"/>
    <w:rsid w:val="00E41B5E"/>
    <w:rsid w:val="00E4756E"/>
    <w:rsid w:val="00E566B9"/>
    <w:rsid w:val="00E623AB"/>
    <w:rsid w:val="00E643E5"/>
    <w:rsid w:val="00E7166E"/>
    <w:rsid w:val="00E717BF"/>
    <w:rsid w:val="00E726A1"/>
    <w:rsid w:val="00E81EDF"/>
    <w:rsid w:val="00E86920"/>
    <w:rsid w:val="00E9797A"/>
    <w:rsid w:val="00EA5D3D"/>
    <w:rsid w:val="00EA7FDB"/>
    <w:rsid w:val="00EB0FBF"/>
    <w:rsid w:val="00EB6C63"/>
    <w:rsid w:val="00EC4DE1"/>
    <w:rsid w:val="00ED4637"/>
    <w:rsid w:val="00EE0436"/>
    <w:rsid w:val="00EE1B66"/>
    <w:rsid w:val="00EE7C80"/>
    <w:rsid w:val="00EF0FE5"/>
    <w:rsid w:val="00F010A1"/>
    <w:rsid w:val="00F044AF"/>
    <w:rsid w:val="00F25C2C"/>
    <w:rsid w:val="00F27834"/>
    <w:rsid w:val="00F360EF"/>
    <w:rsid w:val="00F41324"/>
    <w:rsid w:val="00F5049D"/>
    <w:rsid w:val="00F600A7"/>
    <w:rsid w:val="00F609FD"/>
    <w:rsid w:val="00F80B68"/>
    <w:rsid w:val="00F81345"/>
    <w:rsid w:val="00F859AB"/>
    <w:rsid w:val="00F950D0"/>
    <w:rsid w:val="00FA2C26"/>
    <w:rsid w:val="00FA650F"/>
    <w:rsid w:val="00FB576B"/>
    <w:rsid w:val="00FC6A47"/>
    <w:rsid w:val="00FC7725"/>
    <w:rsid w:val="00FE5946"/>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66</cp:revision>
  <dcterms:created xsi:type="dcterms:W3CDTF">2021-06-30T07:23:00Z</dcterms:created>
  <dcterms:modified xsi:type="dcterms:W3CDTF">2022-10-20T09:19:00Z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