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095FAD">
      <w:pPr>
        <w:pStyle w:val="dazhangjie"/>
        <w:spacing w:before="240" w:after="120"/>
        <w:rPr>
          <w:rFonts w:ascii="黑体" w:eastAsia="黑体"/>
          <w:b/>
          <w:bCs/>
          <w:color w:val="000000"/>
          <w:sz w:val="36"/>
        </w:rPr>
      </w:pPr>
      <w:r w:rsidRPr="00095FAD">
        <w:rPr>
          <w:rFonts w:ascii="黑体" w:eastAsia="黑体" w:hint="eastAsia"/>
          <w:b/>
          <w:bCs/>
          <w:color w:val="000000"/>
          <w:sz w:val="36"/>
        </w:rPr>
        <w:t>南银理财珠联璧合鑫逸稳一年58期封闭式公募人民币理财产品</w:t>
      </w:r>
    </w:p>
    <w:p w:rsidR="00452D7E" w:rsidRDefault="00A76188">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095FAD">
            <w:pPr>
              <w:pStyle w:val="biaogeleft"/>
              <w:wordWrap w:val="0"/>
            </w:pPr>
            <w:r w:rsidRPr="00095FAD">
              <w:rPr>
                <w:rFonts w:hint="eastAsia"/>
              </w:rPr>
              <w:t>南银理财珠联璧合鑫逸稳一年58期封闭式公募人民币理财产品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095FAD">
            <w:pPr>
              <w:pStyle w:val="biaogeleft"/>
              <w:wordWrap w:val="0"/>
            </w:pPr>
            <w:r w:rsidRPr="00095FAD">
              <w:t>Z7003222000029</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095FAD" w:rsidP="00E16019">
            <w:pPr>
              <w:pStyle w:val="biaogeleft"/>
              <w:wordWrap w:val="0"/>
              <w:rPr>
                <w:color w:val="000000"/>
              </w:rPr>
            </w:pPr>
            <w:r w:rsidRPr="00095FAD">
              <w:rPr>
                <w:rFonts w:hint="eastAsia"/>
                <w:color w:val="000000"/>
              </w:rPr>
              <w:t>2022年04月27日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76188">
            <w:pPr>
              <w:pStyle w:val="biaogeleft"/>
              <w:wordWrap w:val="0"/>
            </w:pPr>
            <w:r>
              <w:t>797,786,976.00份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B72532" w:rsidP="0013417A">
            <w:pPr>
              <w:pStyle w:val="biaogeleft"/>
              <w:wordWrap w:val="0"/>
              <w:rPr>
                <w:color w:val="000000"/>
              </w:rPr>
            </w:pPr>
            <w:r w:rsidRPr="00B72532">
              <w:rPr>
                <w:rFonts w:hint="eastAsia"/>
                <w:color w:val="000000"/>
              </w:rPr>
              <w:t>鑫元基金管理有限公司、华夏基金管理有限公司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452D7E">
        <w:tc>
          <w:tcPr>
            <w:tcW w:w="4135" w:type="dxa"/>
            <w:noWrap/>
            <w:vAlign w:val="center"/>
          </w:tcPr>
          <w:p w:rsidR="00452D7E" w:rsidRDefault="0035273C">
            <w:pPr>
              <w:pStyle w:val="a6"/>
              <w:wordWrap w:val="0"/>
              <w:jc w:val="center"/>
              <w:rPr>
                <w:b/>
                <w:bCs/>
                <w:color w:val="000000"/>
              </w:rPr>
            </w:pPr>
            <w:r>
              <w:rPr>
                <w:rFonts w:hint="eastAsia"/>
                <w:b/>
                <w:bCs/>
                <w:color w:val="000000"/>
              </w:rPr>
              <w:t>主要财务指标</w:t>
            </w:r>
          </w:p>
        </w:tc>
        <w:tc>
          <w:tcPr>
            <w:tcW w:w="5187" w:type="dxa"/>
            <w:noWrap/>
          </w:tcPr>
          <w:p w:rsidR="00452D7E" w:rsidRDefault="00A76188" w:rsidP="008D3E3B">
            <w:pPr>
              <w:pStyle w:val="zhangjiep"/>
              <w:jc w:val="center"/>
              <w:rPr>
                <w:b/>
                <w:bCs/>
                <w:color w:val="000000"/>
              </w:rPr>
            </w:pPr>
            <w:r>
              <w:rPr>
                <w:rFonts w:hint="eastAsia"/>
              </w:rPr>
              <w:t>报告期（</w:t>
            </w:r>
            <w:r>
              <w:t>2022年7月1日 - 2022年9月30日）</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452D7E" w:rsidRDefault="00A76188">
            <w:pPr>
              <w:pStyle w:val="biaogeright"/>
              <w:jc w:val="center"/>
              <w:rPr>
                <w:b/>
                <w:bCs/>
                <w:color w:val="000000"/>
              </w:rPr>
            </w:pPr>
            <w:r>
              <w:rPr>
                <w:color w:val="000000"/>
              </w:rPr>
              <w:t>813,324,140.65</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452D7E" w:rsidRDefault="00A76188">
            <w:pPr>
              <w:pStyle w:val="biaogeright"/>
              <w:jc w:val="center"/>
              <w:rPr>
                <w:b/>
                <w:bCs/>
                <w:color w:val="000000"/>
              </w:rPr>
            </w:pPr>
            <w:r>
              <w:rPr>
                <w:color w:val="000000"/>
              </w:rPr>
              <w:t>1.0194</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452D7E" w:rsidRDefault="00A76188">
            <w:pPr>
              <w:pStyle w:val="biaogeright"/>
              <w:jc w:val="center"/>
              <w:rPr>
                <w:b/>
                <w:bCs/>
                <w:color w:val="000000"/>
              </w:rPr>
            </w:pPr>
            <w:r>
              <w:rPr>
                <w:color w:val="000000"/>
              </w:rPr>
              <w:t>1.0194</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9B5DFE" w:rsidRPr="001445C2" w:rsidRDefault="009B5DFE" w:rsidP="009B5DFE">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9B5DFE" w:rsidRPr="001445C2" w:rsidRDefault="009B5DFE" w:rsidP="009B5DFE">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9B5DFE" w:rsidRDefault="009B5DFE" w:rsidP="009B5DFE">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9B5DFE" w:rsidRDefault="009B5DFE" w:rsidP="009B5DFE">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9B5DFE" w:rsidRPr="00E663C4" w:rsidRDefault="009B5DFE" w:rsidP="009B5DFE">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A76188" w:rsidRDefault="00F42734">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A76188">
        <w:rPr>
          <w:rFonts w:ascii="宋体" w:hAnsi="宋体"/>
          <w:color w:val="000000"/>
          <w:kern w:val="0"/>
          <w:sz w:val="24"/>
          <w:szCs w:val="24"/>
        </w:rPr>
        <w:t>截至报告期末,本产品份额净值为1.0194元。</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575850">
        <w:tc>
          <w:tcPr>
            <w:tcW w:w="891" w:type="dxa"/>
            <w:tcBorders>
              <w:top w:val="single" w:sz="8" w:space="0" w:color="000000"/>
              <w:left w:val="single" w:sz="8" w:space="0" w:color="000000"/>
              <w:bottom w:val="single" w:sz="8" w:space="0" w:color="000000"/>
              <w:right w:val="single" w:sz="8" w:space="0" w:color="000000"/>
            </w:tcBorders>
            <w:noWrap/>
            <w:vAlign w:val="bottom"/>
          </w:tcPr>
          <w:p w:rsidR="00575850" w:rsidRDefault="00575850">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100.00%</w:t>
            </w:r>
          </w:p>
        </w:tc>
      </w:tr>
      <w:tr w:rsidR="00575850">
        <w:tc>
          <w:tcPr>
            <w:tcW w:w="891" w:type="dxa"/>
            <w:tcBorders>
              <w:top w:val="single" w:sz="8" w:space="0" w:color="000000"/>
              <w:left w:val="single" w:sz="8" w:space="0" w:color="000000"/>
              <w:bottom w:val="single" w:sz="8" w:space="0" w:color="000000"/>
              <w:right w:val="single" w:sz="8" w:space="0" w:color="000000"/>
            </w:tcBorders>
            <w:noWrap/>
            <w:vAlign w:val="bottom"/>
          </w:tcPr>
          <w:p w:rsidR="00575850" w:rsidRDefault="00575850">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r>
      <w:tr w:rsidR="00575850">
        <w:tc>
          <w:tcPr>
            <w:tcW w:w="891" w:type="dxa"/>
            <w:tcBorders>
              <w:top w:val="single" w:sz="8" w:space="0" w:color="000000"/>
              <w:left w:val="single" w:sz="8" w:space="0" w:color="000000"/>
              <w:bottom w:val="single" w:sz="8" w:space="0" w:color="000000"/>
              <w:right w:val="single" w:sz="8" w:space="0" w:color="000000"/>
            </w:tcBorders>
            <w:noWrap/>
            <w:vAlign w:val="bottom"/>
          </w:tcPr>
          <w:p w:rsidR="00575850" w:rsidRDefault="00575850">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r>
      <w:tr w:rsidR="00575850">
        <w:tc>
          <w:tcPr>
            <w:tcW w:w="891" w:type="dxa"/>
            <w:tcBorders>
              <w:top w:val="single" w:sz="8" w:space="0" w:color="000000"/>
              <w:left w:val="single" w:sz="8" w:space="0" w:color="000000"/>
              <w:bottom w:val="single" w:sz="8" w:space="0" w:color="000000"/>
              <w:right w:val="single" w:sz="8" w:space="0" w:color="000000"/>
            </w:tcBorders>
            <w:noWrap/>
            <w:vAlign w:val="bottom"/>
          </w:tcPr>
          <w:p w:rsidR="00575850" w:rsidRDefault="00575850">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0.00%</w:t>
            </w:r>
          </w:p>
        </w:tc>
      </w:tr>
      <w:tr w:rsidR="00575850">
        <w:tc>
          <w:tcPr>
            <w:tcW w:w="891" w:type="dxa"/>
            <w:tcBorders>
              <w:top w:val="single" w:sz="8" w:space="0" w:color="000000"/>
              <w:left w:val="single" w:sz="8" w:space="0" w:color="000000"/>
              <w:bottom w:val="single" w:sz="8" w:space="0" w:color="000000"/>
              <w:right w:val="single" w:sz="8" w:space="0" w:color="000000"/>
            </w:tcBorders>
            <w:noWrap/>
            <w:vAlign w:val="bottom"/>
          </w:tcPr>
          <w:p w:rsidR="00575850" w:rsidRDefault="00575850">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850" w:rsidRPr="006D2803" w:rsidRDefault="00575850"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C87E8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87E83" w:rsidRDefault="00C87E8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87E83" w:rsidRPr="00C87E83" w:rsidRDefault="00C87E83" w:rsidP="00C87E83">
            <w:pPr>
              <w:pStyle w:val="biaogecenter"/>
              <w:wordWrap w:val="0"/>
              <w:rPr>
                <w:color w:val="000000"/>
              </w:rPr>
            </w:pPr>
            <w:r w:rsidRPr="00C87E83">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379,754,983.16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46.69</w:t>
            </w:r>
          </w:p>
        </w:tc>
      </w:tr>
      <w:tr w:rsidR="00C87E8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87E83" w:rsidRDefault="00C87E8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87E83" w:rsidRPr="00C87E83" w:rsidRDefault="00C87E83" w:rsidP="00C87E83">
            <w:pPr>
              <w:pStyle w:val="biaogecenter"/>
              <w:wordWrap w:val="0"/>
              <w:rPr>
                <w:color w:val="000000"/>
              </w:rPr>
            </w:pPr>
            <w:r w:rsidRPr="00C87E83">
              <w:rPr>
                <w:rFonts w:hint="eastAsia"/>
                <w:color w:val="000000"/>
              </w:rPr>
              <w:t>22088555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22诸暨交通03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200,000,000.00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24.59</w:t>
            </w:r>
          </w:p>
        </w:tc>
      </w:tr>
      <w:tr w:rsidR="00C87E8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87E83" w:rsidRDefault="00C87E83">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87E83" w:rsidRPr="00C87E83" w:rsidRDefault="00C87E83" w:rsidP="00C87E83">
            <w:pPr>
              <w:pStyle w:val="biaogecenter"/>
              <w:wordWrap w:val="0"/>
              <w:rPr>
                <w:color w:val="000000"/>
              </w:rPr>
            </w:pPr>
            <w:r w:rsidRPr="00C87E83">
              <w:rPr>
                <w:rFonts w:hint="eastAsia"/>
                <w:color w:val="000000"/>
              </w:rPr>
              <w:t>22088606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22武进绿建02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183,000,000.00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22.50</w:t>
            </w:r>
          </w:p>
        </w:tc>
      </w:tr>
      <w:tr w:rsidR="00C87E8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87E83" w:rsidRDefault="00C87E83">
            <w:pPr>
              <w:pStyle w:val="biaogecenter"/>
              <w:wordWrap w:val="0"/>
            </w:pPr>
            <w:r>
              <w:rPr>
                <w:rFonts w:hint="eastAsia"/>
                <w:color w:val="000000"/>
              </w:rPr>
              <w:lastRenderedPageBreak/>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87E83" w:rsidRPr="00C87E83" w:rsidRDefault="00C87E83" w:rsidP="00C87E83">
            <w:pPr>
              <w:pStyle w:val="biaogecenter"/>
              <w:wordWrap w:val="0"/>
              <w:rPr>
                <w:color w:val="000000"/>
              </w:rPr>
            </w:pPr>
            <w:r w:rsidRPr="00C87E83">
              <w:rPr>
                <w:rFonts w:hint="eastAsia"/>
                <w:color w:val="000000"/>
              </w:rPr>
              <w:t>ZJQTT202103180021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华夏基金恒益1号集合资产管理计划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40,748,267.02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87E83" w:rsidRPr="00C87E83" w:rsidRDefault="00C87E83" w:rsidP="00C87E83">
            <w:pPr>
              <w:pStyle w:val="biaogecenter"/>
              <w:wordWrap w:val="0"/>
              <w:rPr>
                <w:color w:val="000000"/>
              </w:rPr>
            </w:pPr>
            <w:r w:rsidRPr="00C87E83">
              <w:rPr>
                <w:rFonts w:hint="eastAsia"/>
                <w:color w:val="000000"/>
              </w:rPr>
              <w:t>5.01</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A55824"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A55824" w:rsidRDefault="00A55824">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诸暨市交通基础设施建设有限公司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22诸暨交通03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210天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w:t>
            </w:r>
          </w:p>
        </w:tc>
      </w:tr>
      <w:tr w:rsidR="00A55824"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A55824" w:rsidRDefault="00A55824">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江苏武进绿色建筑产业投资有限公司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22武进绿建02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217天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A55824" w:rsidRPr="00A55824" w:rsidRDefault="00A55824" w:rsidP="00A55824">
            <w:pPr>
              <w:pStyle w:val="biaogecenter"/>
              <w:wordWrap w:val="0"/>
              <w:rPr>
                <w:shd w:val="clear" w:color="auto" w:fill="FFFFFF"/>
              </w:rPr>
            </w:pPr>
            <w:r w:rsidRPr="00A55824">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095FAD">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095FAD" w:rsidRPr="00095FAD" w:rsidTr="00095FAD">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095FAD" w:rsidRDefault="00095FAD">
            <w:pPr>
              <w:pStyle w:val="biaogecenter"/>
              <w:wordWrap w:val="0"/>
              <w:rPr>
                <w:shd w:val="clear" w:color="auto" w:fill="FFFFFF"/>
              </w:rPr>
            </w:pPr>
            <w:r w:rsidRPr="00095FAD">
              <w:rPr>
                <w:rFonts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095FAD" w:rsidRDefault="00095FAD">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095FAD" w:rsidRPr="00095FAD" w:rsidRDefault="00095FAD" w:rsidP="00095FAD">
            <w:pPr>
              <w:pStyle w:val="biaogecenter"/>
              <w:wordWrap w:val="0"/>
              <w:rPr>
                <w:shd w:val="clear" w:color="auto" w:fill="FFFFFF"/>
              </w:rPr>
            </w:pPr>
            <w:r w:rsidRPr="00095FAD">
              <w:rPr>
                <w:rFonts w:hint="eastAsia"/>
                <w:shd w:val="clear" w:color="auto" w:fill="FFFFFF"/>
              </w:rPr>
              <w:t>0120070000000805</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095FAD" w:rsidRPr="00095FAD" w:rsidRDefault="00095FAD" w:rsidP="00095FAD">
            <w:pPr>
              <w:pStyle w:val="biaogecenter"/>
              <w:wordWrap w:val="0"/>
              <w:rPr>
                <w:shd w:val="clear" w:color="auto" w:fill="FFFFFF"/>
              </w:rPr>
            </w:pPr>
            <w:r w:rsidRPr="00095FAD">
              <w:rPr>
                <w:rFonts w:hint="eastAsia"/>
                <w:shd w:val="clear" w:color="auto" w:fill="FFFFFF"/>
              </w:rPr>
              <w:t>南银理财鑫逸稳一年58期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095FAD" w:rsidRDefault="00095FAD">
            <w:pPr>
              <w:pStyle w:val="biaogecenter"/>
              <w:wordWrap w:val="0"/>
              <w:rPr>
                <w:shd w:val="clear" w:color="auto" w:fill="FFFFFF"/>
              </w:rPr>
            </w:pPr>
            <w:r>
              <w:rPr>
                <w:shd w:val="clear" w:color="auto" w:fill="FFFFFF"/>
              </w:rPr>
              <w:t>南京银行</w:t>
            </w:r>
          </w:p>
        </w:tc>
      </w:tr>
    </w:tbl>
    <w:p w:rsidR="00452D7E" w:rsidRPr="00095FAD" w:rsidRDefault="00452D7E" w:rsidP="00095FAD">
      <w:pPr>
        <w:pStyle w:val="biaogecenter"/>
        <w:wordWrap w:val="0"/>
        <w:rPr>
          <w:shd w:val="clear" w:color="auto" w:fill="FFFFFF"/>
        </w:rPr>
      </w:pPr>
    </w:p>
    <w:p w:rsidR="005073B8" w:rsidRPr="005073B8" w:rsidRDefault="005073B8" w:rsidP="005073B8">
      <w:pPr>
        <w:widowControl/>
        <w:spacing w:before="100" w:beforeAutospacing="1" w:after="100" w:afterAutospacing="1"/>
        <w:jc w:val="center"/>
        <w:rPr>
          <w:rFonts w:ascii="宋体" w:hAnsi="宋体"/>
          <w:b/>
          <w:bCs/>
          <w:color w:val="000000"/>
          <w:kern w:val="0"/>
          <w:sz w:val="24"/>
          <w:szCs w:val="24"/>
        </w:rPr>
      </w:pPr>
      <w:r w:rsidRPr="005073B8">
        <w:rPr>
          <w:rFonts w:ascii="宋体" w:hAnsi="Calibri" w:hint="eastAsia"/>
          <w:b/>
          <w:color w:val="000000"/>
          <w:kern w:val="0"/>
          <w:sz w:val="24"/>
          <w:szCs w:val="24"/>
        </w:rPr>
        <w:t>§</w:t>
      </w:r>
      <w:r w:rsidRPr="005073B8">
        <w:rPr>
          <w:rFonts w:ascii="宋体" w:hAnsi="Calibri"/>
          <w:b/>
          <w:color w:val="000000"/>
          <w:kern w:val="0"/>
          <w:sz w:val="24"/>
          <w:szCs w:val="24"/>
        </w:rPr>
        <w:t xml:space="preserve">6  </w:t>
      </w:r>
      <w:r w:rsidRPr="005073B8">
        <w:rPr>
          <w:rFonts w:ascii="宋体" w:hAnsi="宋体" w:hint="eastAsia"/>
          <w:b/>
          <w:bCs/>
          <w:color w:val="000000"/>
          <w:kern w:val="0"/>
          <w:sz w:val="24"/>
          <w:szCs w:val="24"/>
        </w:rPr>
        <w:t>关联交易情况</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报告期内，产品投资于关联方发行的证券、关联方作为融资人的非标准化债权类资产业务交易金额</w:t>
      </w:r>
      <w:r w:rsidRPr="005073B8">
        <w:rPr>
          <w:rFonts w:ascii="宋体"/>
          <w:sz w:val="24"/>
          <w:szCs w:val="21"/>
        </w:rPr>
        <w:t>0.00</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产品投资于关联方承销的证券交易金额</w:t>
      </w:r>
      <w:r w:rsidRPr="005073B8">
        <w:rPr>
          <w:rFonts w:ascii="宋体"/>
          <w:sz w:val="24"/>
          <w:szCs w:val="21"/>
        </w:rPr>
        <w:t>0.00</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产品与关联方作为交易对手开展的投融资业务交易金额</w:t>
      </w:r>
      <w:r w:rsidRPr="005073B8">
        <w:rPr>
          <w:rFonts w:ascii="宋体"/>
          <w:sz w:val="24"/>
          <w:szCs w:val="21"/>
        </w:rPr>
        <w:t>0.00</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产品投资关联方作为管理人的资产管理产品交易金额</w:t>
      </w:r>
      <w:r w:rsidRPr="005073B8">
        <w:rPr>
          <w:rFonts w:ascii="宋体"/>
          <w:sz w:val="24"/>
          <w:szCs w:val="21"/>
        </w:rPr>
        <w:t>0.00</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产品</w:t>
      </w:r>
      <w:r w:rsidR="001A1BFC">
        <w:rPr>
          <w:rFonts w:ascii="宋体" w:hAnsi="宋体" w:hint="eastAsia"/>
          <w:sz w:val="24"/>
          <w:szCs w:val="21"/>
        </w:rPr>
        <w:t>应</w:t>
      </w:r>
      <w:r w:rsidRPr="005073B8">
        <w:rPr>
          <w:rFonts w:ascii="宋体" w:hAnsi="宋体" w:hint="eastAsia"/>
          <w:sz w:val="24"/>
          <w:szCs w:val="21"/>
        </w:rPr>
        <w:t>支付关联方托管费</w:t>
      </w:r>
      <w:r w:rsidRPr="005073B8">
        <w:rPr>
          <w:rFonts w:ascii="宋体" w:hAnsi="宋体"/>
          <w:sz w:val="24"/>
          <w:szCs w:val="21"/>
        </w:rPr>
        <w:t>40,822.54</w:t>
      </w:r>
      <w:r w:rsidRPr="005073B8">
        <w:rPr>
          <w:rFonts w:ascii="宋体" w:hAnsi="宋体" w:hint="eastAsia"/>
          <w:sz w:val="24"/>
          <w:szCs w:val="21"/>
        </w:rPr>
        <w:t>元，</w:t>
      </w:r>
      <w:r w:rsidR="001A1BFC">
        <w:rPr>
          <w:rFonts w:ascii="宋体" w:hAnsi="宋体" w:hint="eastAsia"/>
          <w:sz w:val="24"/>
          <w:szCs w:val="21"/>
        </w:rPr>
        <w:t>应</w:t>
      </w:r>
      <w:r w:rsidRPr="005073B8">
        <w:rPr>
          <w:rFonts w:ascii="宋体" w:hAnsi="宋体" w:hint="eastAsia"/>
          <w:sz w:val="24"/>
          <w:szCs w:val="21"/>
        </w:rPr>
        <w:t>支付关联方代销费</w:t>
      </w:r>
      <w:r w:rsidRPr="005073B8">
        <w:rPr>
          <w:rFonts w:ascii="宋体" w:hAnsi="宋体"/>
          <w:sz w:val="24"/>
          <w:szCs w:val="21"/>
        </w:rPr>
        <w:t>314,351.39</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hint="eastAsia"/>
          <w:sz w:val="24"/>
          <w:szCs w:val="21"/>
        </w:rPr>
        <w:t>产品发生其他关联交易金额</w:t>
      </w:r>
      <w:r w:rsidRPr="005073B8">
        <w:rPr>
          <w:rFonts w:ascii="宋体"/>
          <w:sz w:val="24"/>
          <w:szCs w:val="21"/>
        </w:rPr>
        <w:t>0.00</w:t>
      </w:r>
      <w:r w:rsidRPr="005073B8">
        <w:rPr>
          <w:rFonts w:ascii="宋体" w:hAnsi="宋体" w:hint="eastAsia"/>
          <w:sz w:val="24"/>
          <w:szCs w:val="21"/>
        </w:rPr>
        <w:t>元。</w:t>
      </w:r>
    </w:p>
    <w:p w:rsidR="005073B8" w:rsidRPr="005073B8" w:rsidRDefault="005073B8" w:rsidP="005073B8">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073B8">
        <w:rPr>
          <w:rFonts w:ascii="宋体" w:hAnsi="宋体" w:cs="宋体" w:hint="eastAsia"/>
          <w:color w:val="000000"/>
          <w:kern w:val="0"/>
          <w:sz w:val="24"/>
          <w:szCs w:val="24"/>
        </w:rPr>
        <w:t>报告期内，产品未发生重大关联交易。</w:t>
      </w:r>
    </w:p>
    <w:p w:rsidR="00452D7E" w:rsidRPr="005073B8"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A76188" w:rsidP="00A76188">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1DB" w:rsidRDefault="004731DB" w:rsidP="00452D7E">
      <w:r>
        <w:separator/>
      </w:r>
    </w:p>
  </w:endnote>
  <w:endnote w:type="continuationSeparator" w:id="1">
    <w:p w:rsidR="004731DB" w:rsidRDefault="004731DB"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0A78F6">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1DB" w:rsidRDefault="004731DB" w:rsidP="00452D7E">
      <w:r>
        <w:separator/>
      </w:r>
    </w:p>
  </w:footnote>
  <w:footnote w:type="continuationSeparator" w:id="1">
    <w:p w:rsidR="004731DB" w:rsidRDefault="004731DB"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286"/>
    <w:rsid w:val="00095FAD"/>
    <w:rsid w:val="000A07E0"/>
    <w:rsid w:val="000A78F6"/>
    <w:rsid w:val="000B285B"/>
    <w:rsid w:val="000C294E"/>
    <w:rsid w:val="000C3D76"/>
    <w:rsid w:val="000C44EE"/>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3C84"/>
    <w:rsid w:val="001A0B70"/>
    <w:rsid w:val="001A1BFC"/>
    <w:rsid w:val="001A339C"/>
    <w:rsid w:val="001A637E"/>
    <w:rsid w:val="001B059F"/>
    <w:rsid w:val="001C05F9"/>
    <w:rsid w:val="001C07DF"/>
    <w:rsid w:val="001C0C56"/>
    <w:rsid w:val="001C5395"/>
    <w:rsid w:val="001D5A30"/>
    <w:rsid w:val="001D72A9"/>
    <w:rsid w:val="001F092C"/>
    <w:rsid w:val="001F4650"/>
    <w:rsid w:val="00202434"/>
    <w:rsid w:val="002114A7"/>
    <w:rsid w:val="00211F26"/>
    <w:rsid w:val="00217B0C"/>
    <w:rsid w:val="002263FC"/>
    <w:rsid w:val="0023550F"/>
    <w:rsid w:val="0024254D"/>
    <w:rsid w:val="00251657"/>
    <w:rsid w:val="0026513C"/>
    <w:rsid w:val="00265CCA"/>
    <w:rsid w:val="00271FCB"/>
    <w:rsid w:val="002771FC"/>
    <w:rsid w:val="002813D0"/>
    <w:rsid w:val="00287123"/>
    <w:rsid w:val="002900B6"/>
    <w:rsid w:val="00290D0E"/>
    <w:rsid w:val="002A01E0"/>
    <w:rsid w:val="002A3AE9"/>
    <w:rsid w:val="002B1264"/>
    <w:rsid w:val="002B36BD"/>
    <w:rsid w:val="002C196E"/>
    <w:rsid w:val="002D2F85"/>
    <w:rsid w:val="002D5FF8"/>
    <w:rsid w:val="002D75D0"/>
    <w:rsid w:val="002E2268"/>
    <w:rsid w:val="002E4C6D"/>
    <w:rsid w:val="002E795C"/>
    <w:rsid w:val="002F2D53"/>
    <w:rsid w:val="002F4102"/>
    <w:rsid w:val="0030118D"/>
    <w:rsid w:val="003101E0"/>
    <w:rsid w:val="0031695C"/>
    <w:rsid w:val="00321CB7"/>
    <w:rsid w:val="00327399"/>
    <w:rsid w:val="003273F4"/>
    <w:rsid w:val="003379A9"/>
    <w:rsid w:val="00347110"/>
    <w:rsid w:val="00350ADF"/>
    <w:rsid w:val="0035273C"/>
    <w:rsid w:val="00355623"/>
    <w:rsid w:val="0036553C"/>
    <w:rsid w:val="00373526"/>
    <w:rsid w:val="00374675"/>
    <w:rsid w:val="00381DC7"/>
    <w:rsid w:val="003867E5"/>
    <w:rsid w:val="00393899"/>
    <w:rsid w:val="003A0419"/>
    <w:rsid w:val="003B5524"/>
    <w:rsid w:val="003B73EB"/>
    <w:rsid w:val="003C2E6D"/>
    <w:rsid w:val="003C3E60"/>
    <w:rsid w:val="003E09EA"/>
    <w:rsid w:val="003E10A3"/>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31DB"/>
    <w:rsid w:val="0047463D"/>
    <w:rsid w:val="00487AA2"/>
    <w:rsid w:val="00494476"/>
    <w:rsid w:val="004961A5"/>
    <w:rsid w:val="004B3F90"/>
    <w:rsid w:val="004C1607"/>
    <w:rsid w:val="004C5EFC"/>
    <w:rsid w:val="004E0C32"/>
    <w:rsid w:val="0050223A"/>
    <w:rsid w:val="005069D8"/>
    <w:rsid w:val="005073B8"/>
    <w:rsid w:val="005134CF"/>
    <w:rsid w:val="005154D7"/>
    <w:rsid w:val="00534769"/>
    <w:rsid w:val="00540F98"/>
    <w:rsid w:val="0054267A"/>
    <w:rsid w:val="00542961"/>
    <w:rsid w:val="00545F71"/>
    <w:rsid w:val="0055575C"/>
    <w:rsid w:val="00560678"/>
    <w:rsid w:val="00561127"/>
    <w:rsid w:val="0056162E"/>
    <w:rsid w:val="00567529"/>
    <w:rsid w:val="00567DB3"/>
    <w:rsid w:val="00575850"/>
    <w:rsid w:val="00586A85"/>
    <w:rsid w:val="005B1336"/>
    <w:rsid w:val="005B3434"/>
    <w:rsid w:val="005C7B8F"/>
    <w:rsid w:val="005D5B56"/>
    <w:rsid w:val="005E7B32"/>
    <w:rsid w:val="005F2C7B"/>
    <w:rsid w:val="005F35FC"/>
    <w:rsid w:val="005F4D04"/>
    <w:rsid w:val="006054F8"/>
    <w:rsid w:val="0061061C"/>
    <w:rsid w:val="0062696F"/>
    <w:rsid w:val="00644987"/>
    <w:rsid w:val="0065419A"/>
    <w:rsid w:val="00654220"/>
    <w:rsid w:val="00654D9B"/>
    <w:rsid w:val="00663B94"/>
    <w:rsid w:val="00672F53"/>
    <w:rsid w:val="006765A5"/>
    <w:rsid w:val="00677F66"/>
    <w:rsid w:val="00684926"/>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D233D"/>
    <w:rsid w:val="007E2E92"/>
    <w:rsid w:val="007F5739"/>
    <w:rsid w:val="0080200C"/>
    <w:rsid w:val="00802D87"/>
    <w:rsid w:val="008036C2"/>
    <w:rsid w:val="00814110"/>
    <w:rsid w:val="0082561A"/>
    <w:rsid w:val="00840DB7"/>
    <w:rsid w:val="00846B2E"/>
    <w:rsid w:val="008473F2"/>
    <w:rsid w:val="0088632D"/>
    <w:rsid w:val="00890186"/>
    <w:rsid w:val="008926F7"/>
    <w:rsid w:val="0089287C"/>
    <w:rsid w:val="008A0BA0"/>
    <w:rsid w:val="008A7510"/>
    <w:rsid w:val="008B1EB1"/>
    <w:rsid w:val="008B2958"/>
    <w:rsid w:val="008B54DB"/>
    <w:rsid w:val="008C68AE"/>
    <w:rsid w:val="008C78BD"/>
    <w:rsid w:val="008D3E3B"/>
    <w:rsid w:val="008D5587"/>
    <w:rsid w:val="008E078E"/>
    <w:rsid w:val="008E165F"/>
    <w:rsid w:val="008E3B3F"/>
    <w:rsid w:val="008E79FC"/>
    <w:rsid w:val="008F0C19"/>
    <w:rsid w:val="008F342A"/>
    <w:rsid w:val="00900D90"/>
    <w:rsid w:val="00916D74"/>
    <w:rsid w:val="009354D6"/>
    <w:rsid w:val="00937E17"/>
    <w:rsid w:val="00953236"/>
    <w:rsid w:val="00962A80"/>
    <w:rsid w:val="00964542"/>
    <w:rsid w:val="00964838"/>
    <w:rsid w:val="00970A98"/>
    <w:rsid w:val="00981ECB"/>
    <w:rsid w:val="00983B6A"/>
    <w:rsid w:val="00993D45"/>
    <w:rsid w:val="009964B2"/>
    <w:rsid w:val="009A6044"/>
    <w:rsid w:val="009B5DFE"/>
    <w:rsid w:val="009B6879"/>
    <w:rsid w:val="009C781F"/>
    <w:rsid w:val="009E6170"/>
    <w:rsid w:val="00A103D6"/>
    <w:rsid w:val="00A13DF0"/>
    <w:rsid w:val="00A265CE"/>
    <w:rsid w:val="00A4484F"/>
    <w:rsid w:val="00A5128A"/>
    <w:rsid w:val="00A55783"/>
    <w:rsid w:val="00A55824"/>
    <w:rsid w:val="00A56791"/>
    <w:rsid w:val="00A60E33"/>
    <w:rsid w:val="00A76188"/>
    <w:rsid w:val="00A76D4B"/>
    <w:rsid w:val="00A77C47"/>
    <w:rsid w:val="00A82B60"/>
    <w:rsid w:val="00A9119C"/>
    <w:rsid w:val="00A9205B"/>
    <w:rsid w:val="00A9263A"/>
    <w:rsid w:val="00AA0F98"/>
    <w:rsid w:val="00AA4549"/>
    <w:rsid w:val="00AB0A11"/>
    <w:rsid w:val="00AB0CFC"/>
    <w:rsid w:val="00AB3B06"/>
    <w:rsid w:val="00AB6691"/>
    <w:rsid w:val="00AC5144"/>
    <w:rsid w:val="00AC69F3"/>
    <w:rsid w:val="00AD3F7A"/>
    <w:rsid w:val="00AD4E29"/>
    <w:rsid w:val="00AD6FA5"/>
    <w:rsid w:val="00AD77C5"/>
    <w:rsid w:val="00AE0098"/>
    <w:rsid w:val="00AF6377"/>
    <w:rsid w:val="00B13014"/>
    <w:rsid w:val="00B14C0B"/>
    <w:rsid w:val="00B2244B"/>
    <w:rsid w:val="00B33B19"/>
    <w:rsid w:val="00B404E6"/>
    <w:rsid w:val="00B4360D"/>
    <w:rsid w:val="00B52C6C"/>
    <w:rsid w:val="00B54409"/>
    <w:rsid w:val="00B55A91"/>
    <w:rsid w:val="00B655A5"/>
    <w:rsid w:val="00B67966"/>
    <w:rsid w:val="00B72532"/>
    <w:rsid w:val="00B74DCA"/>
    <w:rsid w:val="00B82278"/>
    <w:rsid w:val="00B96D3F"/>
    <w:rsid w:val="00BA2F89"/>
    <w:rsid w:val="00BA5CA3"/>
    <w:rsid w:val="00BA7D76"/>
    <w:rsid w:val="00BB2800"/>
    <w:rsid w:val="00BC2071"/>
    <w:rsid w:val="00BC3903"/>
    <w:rsid w:val="00BD46AC"/>
    <w:rsid w:val="00BD6AFE"/>
    <w:rsid w:val="00BE47E0"/>
    <w:rsid w:val="00BE5604"/>
    <w:rsid w:val="00BF75C8"/>
    <w:rsid w:val="00C1762E"/>
    <w:rsid w:val="00C24B99"/>
    <w:rsid w:val="00C30A48"/>
    <w:rsid w:val="00C43741"/>
    <w:rsid w:val="00C4493B"/>
    <w:rsid w:val="00C457B8"/>
    <w:rsid w:val="00C52E56"/>
    <w:rsid w:val="00C55683"/>
    <w:rsid w:val="00C57B86"/>
    <w:rsid w:val="00C640FB"/>
    <w:rsid w:val="00C65651"/>
    <w:rsid w:val="00C8151A"/>
    <w:rsid w:val="00C845A0"/>
    <w:rsid w:val="00C87E83"/>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264A"/>
    <w:rsid w:val="00D842AC"/>
    <w:rsid w:val="00D84E43"/>
    <w:rsid w:val="00D90916"/>
    <w:rsid w:val="00D9756B"/>
    <w:rsid w:val="00DA4BE9"/>
    <w:rsid w:val="00DA6AA4"/>
    <w:rsid w:val="00DB0C2F"/>
    <w:rsid w:val="00DB3BF6"/>
    <w:rsid w:val="00DC31CC"/>
    <w:rsid w:val="00DC728A"/>
    <w:rsid w:val="00DD2346"/>
    <w:rsid w:val="00DD3B16"/>
    <w:rsid w:val="00DD51B6"/>
    <w:rsid w:val="00DD5DDA"/>
    <w:rsid w:val="00DE02C6"/>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93765"/>
    <w:rsid w:val="00E9797A"/>
    <w:rsid w:val="00EA5D3D"/>
    <w:rsid w:val="00EA7FDB"/>
    <w:rsid w:val="00EB0FBF"/>
    <w:rsid w:val="00EB6C63"/>
    <w:rsid w:val="00EC4DE1"/>
    <w:rsid w:val="00ED4637"/>
    <w:rsid w:val="00EE0436"/>
    <w:rsid w:val="00EE1B66"/>
    <w:rsid w:val="00EE7C80"/>
    <w:rsid w:val="00F010A1"/>
    <w:rsid w:val="00F044AF"/>
    <w:rsid w:val="00F25C2C"/>
    <w:rsid w:val="00F360EF"/>
    <w:rsid w:val="00F41324"/>
    <w:rsid w:val="00F42734"/>
    <w:rsid w:val="00F5049D"/>
    <w:rsid w:val="00F609FD"/>
    <w:rsid w:val="00F71857"/>
    <w:rsid w:val="00F80B68"/>
    <w:rsid w:val="00F81345"/>
    <w:rsid w:val="00F859AB"/>
    <w:rsid w:val="00F950D0"/>
    <w:rsid w:val="00FA2C26"/>
    <w:rsid w:val="00FA650F"/>
    <w:rsid w:val="00FC6A47"/>
    <w:rsid w:val="00FC7725"/>
    <w:rsid w:val="00FF17BB"/>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67</cp:revision>
  <dcterms:created xsi:type="dcterms:W3CDTF">2021-06-30T07:23:00Z</dcterms:created>
  <dcterms:modified xsi:type="dcterms:W3CDTF">2022-10-20T09:19:00Z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