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AC35F9">
      <w:pPr>
        <w:pStyle w:val="dazhangjie"/>
        <w:spacing w:before="240" w:after="120"/>
        <w:rPr>
          <w:rFonts w:ascii="黑体" w:eastAsia="黑体"/>
          <w:b/>
          <w:bCs/>
          <w:color w:val="000000"/>
          <w:sz w:val="36"/>
        </w:rPr>
      </w:pPr>
      <w:r w:rsidRPr="00AC35F9">
        <w:rPr>
          <w:rFonts w:ascii="黑体" w:eastAsia="黑体" w:hint="eastAsia"/>
          <w:b/>
          <w:bCs/>
          <w:color w:val="000000"/>
          <w:sz w:val="36"/>
        </w:rPr>
        <w:t>南银理财珠联璧合鑫逸稳一年64期封闭式公募人民币理财产品</w:t>
      </w:r>
    </w:p>
    <w:p w:rsidR="00452D7E" w:rsidRDefault="00DD7F07">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ind w:left="0"/>
        <w:jc w:val="both"/>
        <w:rPr>
          <w:rFonts w:ascii="黑体" w:eastAsia="黑体" w:hAnsi="黑体"/>
          <w:b/>
          <w:bCs/>
          <w:color w:val="000000"/>
          <w:sz w:val="36"/>
        </w:rPr>
      </w:pPr>
    </w:p>
    <w:p w:rsidR="00452D7E" w:rsidRDefault="0035273C">
      <w:pPr>
        <w:pStyle w:val="dazhangjie"/>
        <w:spacing w:before="240" w:after="120"/>
        <w:rPr>
          <w:b/>
          <w:bCs/>
          <w:color w:val="000000"/>
        </w:rPr>
      </w:pPr>
      <w:r>
        <w:rPr>
          <w:rFonts w:hint="eastAsia"/>
          <w:b/>
          <w:bCs/>
          <w:color w:val="000000"/>
        </w:rPr>
        <w:t>产品</w:t>
      </w:r>
      <w:r>
        <w:rPr>
          <w:b/>
          <w:bCs/>
          <w:color w:val="000000"/>
        </w:rPr>
        <w:t>管理人:南银理财有限责任公司</w:t>
      </w:r>
    </w:p>
    <w:p w:rsidR="00452D7E" w:rsidRDefault="0035273C">
      <w:pPr>
        <w:pStyle w:val="dazhangjie"/>
        <w:spacing w:before="240" w:after="120"/>
        <w:rPr>
          <w:b/>
          <w:bCs/>
          <w:color w:val="000000"/>
        </w:rPr>
      </w:pPr>
      <w:r>
        <w:rPr>
          <w:rFonts w:hint="eastAsia"/>
          <w:b/>
          <w:bCs/>
          <w:color w:val="000000"/>
        </w:rPr>
        <w:t>产品</w:t>
      </w:r>
      <w:r>
        <w:rPr>
          <w:b/>
          <w:bCs/>
          <w:color w:val="000000"/>
        </w:rPr>
        <w:t>托管人:南京银行股份有限公司</w:t>
      </w:r>
    </w:p>
    <w:p w:rsidR="00452D7E" w:rsidRDefault="0035273C">
      <w:pPr>
        <w:widowControl/>
        <w:jc w:val="left"/>
        <w:rPr>
          <w:b/>
          <w:bCs/>
          <w:color w:val="000000"/>
        </w:rPr>
      </w:pPr>
      <w:r>
        <w:rPr>
          <w:rFonts w:hint="eastAsia"/>
          <w:b/>
          <w:bCs/>
          <w:color w:val="000000"/>
        </w:rPr>
        <w:br w:type="page"/>
      </w:r>
    </w:p>
    <w:p w:rsidR="00452D7E" w:rsidRDefault="0035273C">
      <w:pPr>
        <w:pStyle w:val="dazhangjie"/>
        <w:rPr>
          <w:color w:val="000000"/>
        </w:rPr>
      </w:pPr>
      <w:r>
        <w:rPr>
          <w:rFonts w:hAnsi="Calibri" w:hint="eastAsia"/>
          <w:b/>
          <w:color w:val="000000"/>
        </w:rPr>
        <w:t>§1 产品概况</w:t>
      </w:r>
    </w:p>
    <w:p w:rsidR="00452D7E" w:rsidRDefault="00452D7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AC35F9">
            <w:pPr>
              <w:pStyle w:val="biaogeleft"/>
              <w:wordWrap w:val="0"/>
            </w:pPr>
            <w:r w:rsidRPr="00AC35F9">
              <w:rPr>
                <w:rFonts w:hint="eastAsia"/>
              </w:rPr>
              <w:t>南银理财珠联璧合鑫逸稳一年64期封闭式公募人民币理财产品</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AC35F9">
            <w:pPr>
              <w:pStyle w:val="biaogeleft"/>
              <w:wordWrap w:val="0"/>
            </w:pPr>
            <w:r w:rsidRPr="00AC35F9">
              <w:t>Z7003222000037</w:t>
            </w:r>
            <w:r w:rsidR="0035273C">
              <w:rPr>
                <w:rFonts w:hint="eastAsia"/>
              </w:rPr>
              <w:t>（投资者可依据该编码在中国理财网www.chinawealth.com.cn查询理财产品相关信息）</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81DC7">
            <w:pPr>
              <w:pStyle w:val="biaogeleft"/>
              <w:wordWrap w:val="0"/>
              <w:rPr>
                <w:color w:val="000000"/>
              </w:rPr>
            </w:pPr>
            <w:r>
              <w:rPr>
                <w:rFonts w:hint="eastAsia"/>
                <w:color w:val="000000"/>
              </w:rPr>
              <w:t>封闭</w:t>
            </w:r>
            <w:r w:rsidR="0035273C">
              <w:rPr>
                <w:rFonts w:hint="eastAsia"/>
                <w:color w:val="000000"/>
              </w:rPr>
              <w:t>式净值型</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AC35F9" w:rsidP="00E16019">
            <w:pPr>
              <w:pStyle w:val="biaogeleft"/>
              <w:wordWrap w:val="0"/>
              <w:rPr>
                <w:color w:val="000000"/>
              </w:rPr>
            </w:pPr>
            <w:r w:rsidRPr="00AC35F9">
              <w:rPr>
                <w:rFonts w:hint="eastAsia"/>
                <w:color w:val="000000"/>
              </w:rPr>
              <w:t>2022年06月15日</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DD7F07">
            <w:pPr>
              <w:pStyle w:val="biaogeleft"/>
              <w:wordWrap w:val="0"/>
            </w:pPr>
            <w:r>
              <w:t>1,509,869,162.00份</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FD58E2" w:rsidP="0013417A">
            <w:pPr>
              <w:pStyle w:val="biaogeleft"/>
              <w:wordWrap w:val="0"/>
              <w:rPr>
                <w:color w:val="000000"/>
              </w:rPr>
            </w:pPr>
            <w:r w:rsidRPr="00FD58E2">
              <w:rPr>
                <w:rFonts w:hint="eastAsia"/>
                <w:color w:val="000000"/>
              </w:rPr>
              <w:t>华夏基金管理有限公司、鑫元基金管理有限公司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neirong"/>
              <w:wordWrap w:val="0"/>
              <w:rPr>
                <w:color w:val="000000"/>
              </w:rPr>
            </w:pPr>
            <w:r>
              <w:rPr>
                <w:color w:val="000000"/>
              </w:rPr>
              <w:t>南银理财有限责任公司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color w:val="000000"/>
              </w:rPr>
              <w:t>南京银行股份有限公司</w:t>
            </w:r>
          </w:p>
        </w:tc>
      </w:tr>
    </w:tbl>
    <w:p w:rsidR="00452D7E" w:rsidRDefault="00452D7E">
      <w:pPr>
        <w:pStyle w:val="1"/>
      </w:pP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§2  主要财务指标</w:t>
      </w:r>
    </w:p>
    <w:p w:rsidR="00452D7E" w:rsidRDefault="0035273C">
      <w:pPr>
        <w:pStyle w:val="zhangjiep"/>
        <w:ind w:left="0"/>
        <w:rPr>
          <w:color w:val="000000"/>
        </w:rPr>
      </w:pPr>
      <w:r>
        <w:rPr>
          <w:rFonts w:hint="eastAsia"/>
          <w:b/>
          <w:bCs/>
          <w:color w:val="000000"/>
        </w:rPr>
        <w:t>2.1 主要财务指标</w:t>
      </w:r>
    </w:p>
    <w:p w:rsidR="00452D7E" w:rsidRDefault="0035273C">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2636"/>
        <w:gridCol w:w="2551"/>
      </w:tblGrid>
      <w:tr w:rsidR="00AC35F9" w:rsidTr="00605201">
        <w:tc>
          <w:tcPr>
            <w:tcW w:w="4135" w:type="dxa"/>
            <w:vMerge w:val="restart"/>
            <w:noWrap/>
            <w:vAlign w:val="center"/>
          </w:tcPr>
          <w:p w:rsidR="00AC35F9" w:rsidRDefault="00AC35F9" w:rsidP="00605201">
            <w:pPr>
              <w:pStyle w:val="a6"/>
              <w:wordWrap w:val="0"/>
              <w:jc w:val="center"/>
              <w:rPr>
                <w:b/>
                <w:bCs/>
                <w:color w:val="000000"/>
              </w:rPr>
            </w:pPr>
            <w:r>
              <w:rPr>
                <w:rFonts w:hint="eastAsia"/>
                <w:b/>
                <w:bCs/>
                <w:color w:val="000000"/>
              </w:rPr>
              <w:t>主要财务指标</w:t>
            </w:r>
          </w:p>
        </w:tc>
        <w:tc>
          <w:tcPr>
            <w:tcW w:w="5187" w:type="dxa"/>
            <w:gridSpan w:val="2"/>
            <w:noWrap/>
          </w:tcPr>
          <w:p w:rsidR="00AC35F9" w:rsidRDefault="00DD7F07" w:rsidP="00605201">
            <w:pPr>
              <w:pStyle w:val="zhangjiep"/>
              <w:jc w:val="center"/>
            </w:pPr>
            <w:r>
              <w:rPr>
                <w:rFonts w:hint="eastAsia"/>
              </w:rPr>
              <w:t>报告期（</w:t>
            </w:r>
            <w:r>
              <w:t>2022年7月1日 - 2022年9月30日）</w:t>
            </w:r>
          </w:p>
        </w:tc>
      </w:tr>
      <w:tr w:rsidR="00AC35F9" w:rsidTr="00605201">
        <w:tc>
          <w:tcPr>
            <w:tcW w:w="4135" w:type="dxa"/>
            <w:vMerge/>
            <w:noWrap/>
            <w:vAlign w:val="center"/>
          </w:tcPr>
          <w:p w:rsidR="00AC35F9" w:rsidRDefault="00AC35F9" w:rsidP="00605201">
            <w:pPr>
              <w:pStyle w:val="a6"/>
              <w:wordWrap w:val="0"/>
              <w:jc w:val="center"/>
              <w:rPr>
                <w:b/>
                <w:bCs/>
                <w:color w:val="000000"/>
              </w:rPr>
            </w:pPr>
          </w:p>
        </w:tc>
        <w:tc>
          <w:tcPr>
            <w:tcW w:w="2636" w:type="dxa"/>
            <w:noWrap/>
            <w:vAlign w:val="center"/>
          </w:tcPr>
          <w:p w:rsidR="00AC35F9" w:rsidRDefault="00B338F5" w:rsidP="00605201">
            <w:pPr>
              <w:pStyle w:val="biaogeright"/>
              <w:jc w:val="center"/>
              <w:rPr>
                <w:color w:val="000000"/>
              </w:rPr>
            </w:pPr>
            <w:r w:rsidRPr="00B338F5">
              <w:rPr>
                <w:color w:val="000000"/>
              </w:rPr>
              <w:t>Y30064</w:t>
            </w:r>
          </w:p>
        </w:tc>
        <w:tc>
          <w:tcPr>
            <w:tcW w:w="2551" w:type="dxa"/>
          </w:tcPr>
          <w:p w:rsidR="00AC35F9" w:rsidRDefault="00927A6B" w:rsidP="00605201">
            <w:pPr>
              <w:pStyle w:val="biaogeright"/>
              <w:jc w:val="center"/>
              <w:rPr>
                <w:color w:val="000000"/>
              </w:rPr>
            </w:pPr>
            <w:r w:rsidRPr="00927A6B">
              <w:rPr>
                <w:color w:val="000000"/>
              </w:rPr>
              <w:t>Y31064</w:t>
            </w:r>
          </w:p>
        </w:tc>
      </w:tr>
      <w:tr w:rsidR="00B338F5" w:rsidTr="00D231D4">
        <w:tc>
          <w:tcPr>
            <w:tcW w:w="4135" w:type="dxa"/>
            <w:noWrap/>
            <w:vAlign w:val="center"/>
          </w:tcPr>
          <w:p w:rsidR="00B338F5" w:rsidRDefault="00B338F5" w:rsidP="00B338F5">
            <w:pPr>
              <w:pStyle w:val="a6"/>
              <w:rPr>
                <w:shd w:val="clear" w:color="auto" w:fill="FFFFFF"/>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2636" w:type="dxa"/>
            <w:noWrap/>
            <w:vAlign w:val="center"/>
          </w:tcPr>
          <w:p w:rsidR="00B338F5" w:rsidRPr="00B338F5" w:rsidRDefault="00B338F5" w:rsidP="00B338F5">
            <w:pPr>
              <w:pStyle w:val="biaogeleft"/>
              <w:wordWrap w:val="0"/>
              <w:jc w:val="center"/>
            </w:pPr>
            <w:r w:rsidRPr="00B338F5">
              <w:rPr>
                <w:rFonts w:hint="eastAsia"/>
              </w:rPr>
              <w:t>107,042,545.45</w:t>
            </w:r>
          </w:p>
        </w:tc>
        <w:tc>
          <w:tcPr>
            <w:tcW w:w="2551" w:type="dxa"/>
            <w:vAlign w:val="center"/>
          </w:tcPr>
          <w:p w:rsidR="00B338F5" w:rsidRPr="00B338F5" w:rsidRDefault="00B338F5" w:rsidP="00B338F5">
            <w:pPr>
              <w:pStyle w:val="biaogeleft"/>
              <w:wordWrap w:val="0"/>
              <w:jc w:val="center"/>
            </w:pPr>
            <w:r w:rsidRPr="00B338F5">
              <w:rPr>
                <w:rFonts w:hint="eastAsia"/>
              </w:rPr>
              <w:t>1,421,488,069.41</w:t>
            </w:r>
          </w:p>
        </w:tc>
      </w:tr>
      <w:tr w:rsidR="00B338F5" w:rsidTr="00D231D4">
        <w:tc>
          <w:tcPr>
            <w:tcW w:w="4135" w:type="dxa"/>
            <w:noWrap/>
            <w:vAlign w:val="center"/>
          </w:tcPr>
          <w:p w:rsidR="00B338F5" w:rsidRDefault="00B338F5" w:rsidP="00605201">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2636" w:type="dxa"/>
            <w:noWrap/>
            <w:vAlign w:val="center"/>
          </w:tcPr>
          <w:p w:rsidR="00B338F5" w:rsidRPr="00B338F5" w:rsidRDefault="00B338F5" w:rsidP="00605201">
            <w:pPr>
              <w:pStyle w:val="biaogeright"/>
              <w:jc w:val="center"/>
              <w:rPr>
                <w:bCs/>
                <w:color w:val="000000"/>
              </w:rPr>
            </w:pPr>
            <w:r w:rsidRPr="00B338F5">
              <w:rPr>
                <w:bCs/>
                <w:color w:val="000000"/>
              </w:rPr>
              <w:t>1.01</w:t>
            </w:r>
            <w:r>
              <w:rPr>
                <w:rFonts w:hint="eastAsia"/>
                <w:bCs/>
                <w:color w:val="000000"/>
              </w:rPr>
              <w:t>18</w:t>
            </w:r>
          </w:p>
        </w:tc>
        <w:tc>
          <w:tcPr>
            <w:tcW w:w="2551" w:type="dxa"/>
            <w:vAlign w:val="center"/>
          </w:tcPr>
          <w:p w:rsidR="00B338F5" w:rsidRPr="00B338F5" w:rsidRDefault="00B338F5" w:rsidP="00C36567">
            <w:pPr>
              <w:pStyle w:val="biaogeright"/>
              <w:jc w:val="center"/>
              <w:rPr>
                <w:bCs/>
                <w:color w:val="000000"/>
              </w:rPr>
            </w:pPr>
            <w:r w:rsidRPr="00B338F5">
              <w:rPr>
                <w:bCs/>
                <w:color w:val="000000"/>
              </w:rPr>
              <w:t>1.012</w:t>
            </w:r>
            <w:r>
              <w:rPr>
                <w:rFonts w:hint="eastAsia"/>
                <w:bCs/>
                <w:color w:val="000000"/>
              </w:rPr>
              <w:t>4</w:t>
            </w:r>
          </w:p>
        </w:tc>
      </w:tr>
      <w:tr w:rsidR="00B338F5" w:rsidTr="00D231D4">
        <w:tc>
          <w:tcPr>
            <w:tcW w:w="4135" w:type="dxa"/>
            <w:noWrap/>
            <w:vAlign w:val="center"/>
          </w:tcPr>
          <w:p w:rsidR="00B338F5" w:rsidRDefault="00B338F5" w:rsidP="00605201">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2636" w:type="dxa"/>
            <w:noWrap/>
            <w:vAlign w:val="center"/>
          </w:tcPr>
          <w:p w:rsidR="00B338F5" w:rsidRPr="00B338F5" w:rsidRDefault="00B338F5" w:rsidP="00C36567">
            <w:pPr>
              <w:pStyle w:val="biaogeright"/>
              <w:jc w:val="center"/>
              <w:rPr>
                <w:bCs/>
                <w:color w:val="000000"/>
              </w:rPr>
            </w:pPr>
            <w:r w:rsidRPr="00B338F5">
              <w:rPr>
                <w:bCs/>
                <w:color w:val="000000"/>
              </w:rPr>
              <w:t>1.01</w:t>
            </w:r>
            <w:r>
              <w:rPr>
                <w:rFonts w:hint="eastAsia"/>
                <w:bCs/>
                <w:color w:val="000000"/>
              </w:rPr>
              <w:t>18</w:t>
            </w:r>
          </w:p>
        </w:tc>
        <w:tc>
          <w:tcPr>
            <w:tcW w:w="2551" w:type="dxa"/>
            <w:vAlign w:val="center"/>
          </w:tcPr>
          <w:p w:rsidR="00B338F5" w:rsidRPr="00B338F5" w:rsidRDefault="00B338F5" w:rsidP="00C36567">
            <w:pPr>
              <w:pStyle w:val="biaogeright"/>
              <w:jc w:val="center"/>
              <w:rPr>
                <w:bCs/>
                <w:color w:val="000000"/>
              </w:rPr>
            </w:pPr>
            <w:r w:rsidRPr="00B338F5">
              <w:rPr>
                <w:bCs/>
                <w:color w:val="000000"/>
              </w:rPr>
              <w:t>1.012</w:t>
            </w:r>
            <w:r>
              <w:rPr>
                <w:rFonts w:hint="eastAsia"/>
                <w:bCs/>
                <w:color w:val="000000"/>
              </w:rPr>
              <w:t>4</w:t>
            </w:r>
          </w:p>
        </w:tc>
      </w:tr>
    </w:tbl>
    <w:p w:rsidR="00AC35F9" w:rsidRPr="00AC35F9" w:rsidRDefault="00AC35F9">
      <w:pPr>
        <w:pStyle w:val="biaogeleft"/>
        <w:ind w:left="0"/>
      </w:pPr>
    </w:p>
    <w:p w:rsidR="00452D7E" w:rsidRDefault="0035273C">
      <w:pPr>
        <w:pStyle w:val="biaogeleft"/>
        <w:ind w:left="0"/>
        <w:rPr>
          <w:color w:val="000000"/>
        </w:rPr>
      </w:pPr>
      <w:r>
        <w:rPr>
          <w:rFonts w:hint="eastAsia"/>
        </w:rPr>
        <w:t>注：产品净值可能存在未扣除管理人及投资合作机构业绩报酬、赎回费等费用（如有）的情况，实际收益以兑付为准。</w:t>
      </w: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§3  管理人报告</w:t>
      </w:r>
    </w:p>
    <w:p w:rsidR="001138D9" w:rsidRDefault="001138D9" w:rsidP="001138D9">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1108E5" w:rsidRPr="001445C2" w:rsidRDefault="001108E5" w:rsidP="001108E5">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回顾三季度，经济基本面有所走弱，决策层淡化了年度经济增长目标，随之财政、货币政策加码，</w:t>
      </w:r>
      <w:r w:rsidRPr="001445C2">
        <w:rPr>
          <w:rFonts w:ascii="宋体" w:hAnsi="宋体"/>
          <w:color w:val="000000"/>
          <w:kern w:val="0"/>
          <w:sz w:val="24"/>
          <w:szCs w:val="24"/>
        </w:rPr>
        <w:t xml:space="preserve"> 8</w:t>
      </w:r>
      <w:r w:rsidRPr="001445C2">
        <w:rPr>
          <w:rFonts w:ascii="宋体" w:hAnsi="宋体" w:hint="eastAsia"/>
          <w:color w:val="000000"/>
          <w:kern w:val="0"/>
          <w:sz w:val="24"/>
          <w:szCs w:val="24"/>
        </w:rPr>
        <w:t>月</w:t>
      </w:r>
      <w:r w:rsidRPr="001445C2">
        <w:rPr>
          <w:rFonts w:ascii="宋体" w:hAnsi="宋体"/>
          <w:color w:val="000000"/>
          <w:kern w:val="0"/>
          <w:sz w:val="24"/>
          <w:szCs w:val="24"/>
        </w:rPr>
        <w:t>15</w:t>
      </w:r>
      <w:r w:rsidRPr="001445C2">
        <w:rPr>
          <w:rFonts w:ascii="宋体" w:hAnsi="宋体" w:hint="eastAsia"/>
          <w:color w:val="000000"/>
          <w:kern w:val="0"/>
          <w:sz w:val="24"/>
          <w:szCs w:val="24"/>
        </w:rPr>
        <w:t>日央行进行了降息操作，</w:t>
      </w:r>
      <w:r w:rsidRPr="001445C2">
        <w:rPr>
          <w:rFonts w:ascii="宋体" w:hAnsi="宋体"/>
          <w:color w:val="000000"/>
          <w:kern w:val="0"/>
          <w:sz w:val="24"/>
          <w:szCs w:val="24"/>
        </w:rPr>
        <w:t>7-8</w:t>
      </w:r>
      <w:r w:rsidRPr="001445C2">
        <w:rPr>
          <w:rFonts w:ascii="宋体" w:hAnsi="宋体" w:hint="eastAsia"/>
          <w:color w:val="000000"/>
          <w:kern w:val="0"/>
          <w:sz w:val="24"/>
          <w:szCs w:val="24"/>
        </w:rPr>
        <w:t>月资金利率不断走低，债券收益率逐步下行。</w:t>
      </w:r>
      <w:r w:rsidRPr="001445C2">
        <w:rPr>
          <w:rFonts w:ascii="宋体" w:hAnsi="宋体"/>
          <w:color w:val="000000"/>
          <w:kern w:val="0"/>
          <w:sz w:val="24"/>
          <w:szCs w:val="24"/>
        </w:rPr>
        <w:t>9</w:t>
      </w:r>
      <w:r w:rsidRPr="001445C2">
        <w:rPr>
          <w:rFonts w:ascii="宋体" w:hAnsi="宋体" w:hint="eastAsia"/>
          <w:color w:val="000000"/>
          <w:kern w:val="0"/>
          <w:sz w:val="24"/>
          <w:szCs w:val="24"/>
        </w:rPr>
        <w:t>月中旬后，央行缩量</w:t>
      </w:r>
      <w:r w:rsidRPr="001445C2">
        <w:rPr>
          <w:rFonts w:ascii="宋体" w:hAnsi="宋体"/>
          <w:color w:val="000000"/>
          <w:kern w:val="0"/>
          <w:sz w:val="24"/>
          <w:szCs w:val="24"/>
        </w:rPr>
        <w:t>MLF</w:t>
      </w:r>
      <w:r w:rsidRPr="001445C2">
        <w:rPr>
          <w:rFonts w:ascii="宋体" w:hAnsi="宋体" w:hint="eastAsia"/>
          <w:color w:val="000000"/>
          <w:kern w:val="0"/>
          <w:sz w:val="24"/>
          <w:szCs w:val="24"/>
        </w:rPr>
        <w:t>引导资金利率向政策利率回升的影响显现，资金价格上行，同时受到美联储持续鹰派加息、汇率快速贬值和国内社融结构改善、地产放松加码等因素影响，债市呈现调整。总体来看，三季度利率先下后上，截止季末</w:t>
      </w:r>
      <w:r w:rsidRPr="001445C2">
        <w:rPr>
          <w:rFonts w:ascii="宋体" w:hAnsi="宋体"/>
          <w:color w:val="000000"/>
          <w:kern w:val="0"/>
          <w:sz w:val="24"/>
          <w:szCs w:val="24"/>
        </w:rPr>
        <w:t>10</w:t>
      </w:r>
      <w:r w:rsidRPr="001445C2">
        <w:rPr>
          <w:rFonts w:ascii="宋体" w:hAnsi="宋体" w:hint="eastAsia"/>
          <w:color w:val="000000"/>
          <w:kern w:val="0"/>
          <w:sz w:val="24"/>
          <w:szCs w:val="24"/>
        </w:rPr>
        <w:lastRenderedPageBreak/>
        <w:t>年期国债收益率下行</w:t>
      </w:r>
      <w:r w:rsidRPr="001445C2">
        <w:rPr>
          <w:rFonts w:ascii="宋体" w:hAnsi="宋体"/>
          <w:color w:val="000000"/>
          <w:kern w:val="0"/>
          <w:sz w:val="24"/>
          <w:szCs w:val="24"/>
        </w:rPr>
        <w:t>6bp</w:t>
      </w:r>
      <w:r w:rsidRPr="001445C2">
        <w:rPr>
          <w:rFonts w:ascii="宋体" w:hAnsi="宋体" w:hint="eastAsia"/>
          <w:color w:val="000000"/>
          <w:kern w:val="0"/>
          <w:sz w:val="24"/>
          <w:szCs w:val="24"/>
        </w:rPr>
        <w:t>至</w:t>
      </w:r>
      <w:r w:rsidRPr="001445C2">
        <w:rPr>
          <w:rFonts w:ascii="宋体" w:hAnsi="宋体"/>
          <w:color w:val="000000"/>
          <w:kern w:val="0"/>
          <w:sz w:val="24"/>
          <w:szCs w:val="24"/>
        </w:rPr>
        <w:t>2.76%</w:t>
      </w:r>
      <w:r w:rsidRPr="001445C2">
        <w:rPr>
          <w:rFonts w:ascii="宋体" w:hAnsi="宋体" w:hint="eastAsia"/>
          <w:color w:val="000000"/>
          <w:kern w:val="0"/>
          <w:sz w:val="24"/>
          <w:szCs w:val="24"/>
        </w:rPr>
        <w:t>，</w:t>
      </w:r>
      <w:r w:rsidRPr="001445C2">
        <w:rPr>
          <w:rFonts w:ascii="宋体" w:hAnsi="宋体"/>
          <w:color w:val="000000"/>
          <w:kern w:val="0"/>
          <w:sz w:val="24"/>
          <w:szCs w:val="24"/>
        </w:rPr>
        <w:t>10</w:t>
      </w:r>
      <w:r w:rsidRPr="001445C2">
        <w:rPr>
          <w:rFonts w:ascii="宋体" w:hAnsi="宋体" w:hint="eastAsia"/>
          <w:color w:val="000000"/>
          <w:kern w:val="0"/>
          <w:sz w:val="24"/>
          <w:szCs w:val="24"/>
        </w:rPr>
        <w:t>年期国开债收益率下行</w:t>
      </w:r>
      <w:r w:rsidRPr="001445C2">
        <w:rPr>
          <w:rFonts w:ascii="宋体" w:hAnsi="宋体"/>
          <w:color w:val="000000"/>
          <w:kern w:val="0"/>
          <w:sz w:val="24"/>
          <w:szCs w:val="24"/>
        </w:rPr>
        <w:t>11bp</w:t>
      </w:r>
      <w:r w:rsidRPr="001445C2">
        <w:rPr>
          <w:rFonts w:ascii="宋体" w:hAnsi="宋体" w:hint="eastAsia"/>
          <w:color w:val="000000"/>
          <w:kern w:val="0"/>
          <w:sz w:val="24"/>
          <w:szCs w:val="24"/>
        </w:rPr>
        <w:t>至</w:t>
      </w:r>
      <w:r w:rsidRPr="001445C2">
        <w:rPr>
          <w:rFonts w:ascii="宋体" w:hAnsi="宋体"/>
          <w:color w:val="000000"/>
          <w:kern w:val="0"/>
          <w:sz w:val="24"/>
          <w:szCs w:val="24"/>
        </w:rPr>
        <w:t>2.93%</w:t>
      </w:r>
      <w:r w:rsidRPr="001445C2">
        <w:rPr>
          <w:rFonts w:ascii="宋体" w:hAnsi="宋体" w:hint="eastAsia"/>
          <w:color w:val="000000"/>
          <w:kern w:val="0"/>
          <w:sz w:val="24"/>
          <w:szCs w:val="24"/>
        </w:rPr>
        <w:t>，中债新综合财富指数上涨</w:t>
      </w:r>
      <w:r w:rsidRPr="001445C2">
        <w:rPr>
          <w:rFonts w:ascii="宋体" w:hAnsi="宋体"/>
          <w:color w:val="000000"/>
          <w:kern w:val="0"/>
          <w:sz w:val="24"/>
          <w:szCs w:val="24"/>
        </w:rPr>
        <w:t>1.02%</w:t>
      </w:r>
      <w:r w:rsidRPr="001445C2">
        <w:rPr>
          <w:rFonts w:ascii="宋体" w:hAnsi="宋体" w:hint="eastAsia"/>
          <w:color w:val="000000"/>
          <w:kern w:val="0"/>
          <w:sz w:val="24"/>
          <w:szCs w:val="24"/>
        </w:rPr>
        <w:t>。</w:t>
      </w:r>
    </w:p>
    <w:p w:rsidR="001108E5" w:rsidRPr="001445C2" w:rsidRDefault="001108E5" w:rsidP="001108E5">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展望四季度，国内地产下行趋势尚未扭转、出口开始回落、疫情继续限制消费，经济复苏进程缓慢，宽信用仍处观察期、宽货币不会退出，构成了对债市的支撑，但全球滞涨格局愈发明显、海外央行进入快速加息通道，汇率稳定受到冲击制约了央行的宽松空间，债市不会出现单边行情、持券获取票息是较好策略。</w:t>
      </w:r>
    </w:p>
    <w:p w:rsidR="001108E5" w:rsidRDefault="001108E5" w:rsidP="001108E5">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rsidR="001108E5" w:rsidRDefault="001108E5" w:rsidP="001108E5">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1108E5" w:rsidRPr="00E663C4" w:rsidRDefault="001108E5" w:rsidP="001108E5">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本理财产品主要投向具有良好流动性的标准化债券资产和非标债权资产，其中非标债权资产的投资比例不超过说明书约定的比例上限，资产到期日不晚于本理财产品的到期日，流动性风险可控。</w:t>
      </w:r>
      <w:r>
        <w:rPr>
          <w:rFonts w:ascii="宋体" w:hAnsi="宋体" w:hint="eastAsia"/>
          <w:color w:val="000000"/>
          <w:kern w:val="0"/>
          <w:sz w:val="24"/>
          <w:szCs w:val="24"/>
        </w:rPr>
        <w:t xml:space="preserve">  </w:t>
      </w:r>
    </w:p>
    <w:p w:rsidR="00452D7E" w:rsidRDefault="0035273C">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E278E3" w:rsidRDefault="001138D9">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E278E3">
        <w:rPr>
          <w:rFonts w:ascii="宋体" w:hAnsi="宋体"/>
          <w:color w:val="000000"/>
          <w:kern w:val="0"/>
          <w:sz w:val="24"/>
          <w:szCs w:val="24"/>
        </w:rPr>
        <w:t>截至报告期末,本产品</w:t>
      </w:r>
      <w:r w:rsidR="00AC35F9" w:rsidRPr="00AC35F9">
        <w:rPr>
          <w:rFonts w:ascii="宋体" w:hAnsi="宋体"/>
          <w:color w:val="000000"/>
          <w:kern w:val="0"/>
          <w:sz w:val="24"/>
          <w:szCs w:val="24"/>
        </w:rPr>
        <w:t>Y30064</w:t>
      </w:r>
      <w:r w:rsidR="00E278E3">
        <w:rPr>
          <w:rFonts w:ascii="宋体" w:hAnsi="宋体"/>
          <w:color w:val="000000"/>
          <w:kern w:val="0"/>
          <w:sz w:val="24"/>
          <w:szCs w:val="24"/>
        </w:rPr>
        <w:t>份额净值为</w:t>
      </w:r>
      <w:r w:rsidR="00B338F5">
        <w:rPr>
          <w:rFonts w:ascii="宋体" w:hAnsi="宋体" w:hint="eastAsia"/>
          <w:color w:val="000000"/>
          <w:kern w:val="0"/>
          <w:sz w:val="24"/>
          <w:szCs w:val="24"/>
        </w:rPr>
        <w:t>1.0118</w:t>
      </w:r>
      <w:r w:rsidR="00E278E3">
        <w:rPr>
          <w:rFonts w:ascii="宋体" w:hAnsi="宋体"/>
          <w:color w:val="000000"/>
          <w:kern w:val="0"/>
          <w:sz w:val="24"/>
          <w:szCs w:val="24"/>
        </w:rPr>
        <w:t>元</w:t>
      </w:r>
      <w:r w:rsidR="00F56183">
        <w:rPr>
          <w:rFonts w:ascii="宋体" w:hAnsi="宋体"/>
          <w:color w:val="000000"/>
          <w:kern w:val="0"/>
          <w:sz w:val="24"/>
          <w:szCs w:val="24"/>
        </w:rPr>
        <w:t>,</w:t>
      </w:r>
      <w:r w:rsidR="00F56183" w:rsidRPr="00F56183">
        <w:rPr>
          <w:rFonts w:ascii="宋体" w:hAnsi="宋体"/>
          <w:color w:val="000000"/>
          <w:kern w:val="0"/>
          <w:sz w:val="24"/>
          <w:szCs w:val="24"/>
        </w:rPr>
        <w:t xml:space="preserve"> </w:t>
      </w:r>
      <w:r w:rsidR="00AC35F9" w:rsidRPr="00AC35F9">
        <w:rPr>
          <w:rFonts w:ascii="宋体" w:hAnsi="宋体"/>
          <w:color w:val="000000"/>
          <w:kern w:val="0"/>
          <w:sz w:val="24"/>
          <w:szCs w:val="24"/>
        </w:rPr>
        <w:t>Y31064</w:t>
      </w:r>
      <w:r w:rsidR="00F56183">
        <w:rPr>
          <w:rFonts w:ascii="宋体" w:hAnsi="宋体"/>
          <w:color w:val="000000"/>
          <w:kern w:val="0"/>
          <w:sz w:val="24"/>
          <w:szCs w:val="24"/>
        </w:rPr>
        <w:t>份额净值为</w:t>
      </w:r>
      <w:r w:rsidR="00B338F5">
        <w:rPr>
          <w:rFonts w:ascii="宋体" w:hAnsi="宋体" w:hint="eastAsia"/>
          <w:color w:val="000000"/>
          <w:kern w:val="0"/>
          <w:sz w:val="24"/>
          <w:szCs w:val="24"/>
        </w:rPr>
        <w:t>1.0124</w:t>
      </w:r>
      <w:r w:rsidR="00F56183">
        <w:rPr>
          <w:rFonts w:ascii="宋体" w:hAnsi="宋体"/>
          <w:color w:val="000000"/>
          <w:kern w:val="0"/>
          <w:sz w:val="24"/>
          <w:szCs w:val="24"/>
        </w:rPr>
        <w:t>元</w:t>
      </w:r>
      <w:r w:rsidR="00E278E3">
        <w:rPr>
          <w:rFonts w:ascii="宋体" w:hAnsi="宋体"/>
          <w:color w:val="000000"/>
          <w:kern w:val="0"/>
          <w:sz w:val="24"/>
          <w:szCs w:val="24"/>
        </w:rPr>
        <w:t>。</w:t>
      </w:r>
    </w:p>
    <w:p w:rsidR="00452D7E" w:rsidRDefault="00452D7E">
      <w:pPr>
        <w:spacing w:line="360" w:lineRule="auto"/>
        <w:ind w:firstLineChars="200" w:firstLine="480"/>
        <w:rPr>
          <w:rFonts w:ascii="宋体" w:hAnsi="宋体"/>
          <w:sz w:val="24"/>
          <w:szCs w:val="24"/>
        </w:rPr>
      </w:pPr>
    </w:p>
    <w:p w:rsidR="00452D7E" w:rsidRDefault="0035273C">
      <w:pPr>
        <w:pStyle w:val="dazhangjie"/>
        <w:rPr>
          <w:color w:val="000000"/>
        </w:rPr>
      </w:pPr>
      <w:r>
        <w:rPr>
          <w:rFonts w:hAnsi="Calibri" w:hint="eastAsia"/>
          <w:b/>
          <w:color w:val="000000"/>
        </w:rPr>
        <w:t>§4  投资组合报告</w:t>
      </w:r>
    </w:p>
    <w:p w:rsidR="00452D7E" w:rsidRDefault="0035273C">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452D7E">
        <w:tc>
          <w:tcPr>
            <w:tcW w:w="891"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穿透后占总资产比例</w:t>
            </w:r>
          </w:p>
        </w:tc>
      </w:tr>
      <w:tr w:rsidR="00B92A77">
        <w:tc>
          <w:tcPr>
            <w:tcW w:w="891" w:type="dxa"/>
            <w:tcBorders>
              <w:top w:val="single" w:sz="8" w:space="0" w:color="000000"/>
              <w:left w:val="single" w:sz="8" w:space="0" w:color="000000"/>
              <w:bottom w:val="single" w:sz="8" w:space="0" w:color="000000"/>
              <w:right w:val="single" w:sz="8" w:space="0" w:color="000000"/>
            </w:tcBorders>
            <w:noWrap/>
            <w:vAlign w:val="bottom"/>
          </w:tcPr>
          <w:p w:rsidR="00B92A77" w:rsidRDefault="00B92A77">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color w:val="000000"/>
              </w:rPr>
              <w:t>100.00%</w:t>
            </w:r>
          </w:p>
        </w:tc>
      </w:tr>
      <w:tr w:rsidR="00B92A77">
        <w:tc>
          <w:tcPr>
            <w:tcW w:w="891" w:type="dxa"/>
            <w:tcBorders>
              <w:top w:val="single" w:sz="8" w:space="0" w:color="000000"/>
              <w:left w:val="single" w:sz="8" w:space="0" w:color="000000"/>
              <w:bottom w:val="single" w:sz="8" w:space="0" w:color="000000"/>
              <w:right w:val="single" w:sz="8" w:space="0" w:color="000000"/>
            </w:tcBorders>
            <w:noWrap/>
            <w:vAlign w:val="bottom"/>
          </w:tcPr>
          <w:p w:rsidR="00B92A77" w:rsidRDefault="00B92A77">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color w:val="000000"/>
              </w:rPr>
              <w:t>0.00%</w:t>
            </w:r>
          </w:p>
        </w:tc>
      </w:tr>
      <w:tr w:rsidR="00B92A77">
        <w:tc>
          <w:tcPr>
            <w:tcW w:w="891" w:type="dxa"/>
            <w:tcBorders>
              <w:top w:val="single" w:sz="8" w:space="0" w:color="000000"/>
              <w:left w:val="single" w:sz="8" w:space="0" w:color="000000"/>
              <w:bottom w:val="single" w:sz="8" w:space="0" w:color="000000"/>
              <w:right w:val="single" w:sz="8" w:space="0" w:color="000000"/>
            </w:tcBorders>
            <w:noWrap/>
            <w:vAlign w:val="bottom"/>
          </w:tcPr>
          <w:p w:rsidR="00B92A77" w:rsidRDefault="00B92A77">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color w:val="000000"/>
              </w:rPr>
              <w:t>0.00%</w:t>
            </w:r>
          </w:p>
        </w:tc>
      </w:tr>
      <w:tr w:rsidR="00B92A77">
        <w:tc>
          <w:tcPr>
            <w:tcW w:w="891" w:type="dxa"/>
            <w:tcBorders>
              <w:top w:val="single" w:sz="8" w:space="0" w:color="000000"/>
              <w:left w:val="single" w:sz="8" w:space="0" w:color="000000"/>
              <w:bottom w:val="single" w:sz="8" w:space="0" w:color="000000"/>
              <w:right w:val="single" w:sz="8" w:space="0" w:color="000000"/>
            </w:tcBorders>
            <w:noWrap/>
            <w:vAlign w:val="bottom"/>
          </w:tcPr>
          <w:p w:rsidR="00B92A77" w:rsidRDefault="00B92A77">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color w:val="000000"/>
              </w:rPr>
              <w:t>0.00%</w:t>
            </w:r>
          </w:p>
        </w:tc>
      </w:tr>
      <w:tr w:rsidR="00B92A77">
        <w:tc>
          <w:tcPr>
            <w:tcW w:w="891" w:type="dxa"/>
            <w:tcBorders>
              <w:top w:val="single" w:sz="8" w:space="0" w:color="000000"/>
              <w:left w:val="single" w:sz="8" w:space="0" w:color="000000"/>
              <w:bottom w:val="single" w:sz="8" w:space="0" w:color="000000"/>
              <w:right w:val="single" w:sz="8" w:space="0" w:color="000000"/>
            </w:tcBorders>
            <w:noWrap/>
            <w:vAlign w:val="bottom"/>
          </w:tcPr>
          <w:p w:rsidR="00B92A77" w:rsidRDefault="00B92A77">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92A77" w:rsidRPr="006D2803" w:rsidRDefault="00B92A77" w:rsidP="00D24C4B">
            <w:pPr>
              <w:pStyle w:val="biaogecenter"/>
              <w:rPr>
                <w:color w:val="000000"/>
              </w:rPr>
            </w:pPr>
            <w:r w:rsidRPr="006D2803">
              <w:rPr>
                <w:color w:val="000000"/>
              </w:rPr>
              <w:t>100.00%</w:t>
            </w:r>
          </w:p>
        </w:tc>
      </w:tr>
    </w:tbl>
    <w:p w:rsidR="00452D7E" w:rsidRDefault="00452D7E">
      <w:pPr>
        <w:widowControl/>
        <w:jc w:val="left"/>
        <w:rPr>
          <w:rFonts w:ascii="宋体" w:hAnsi="宋体" w:cs="宋体"/>
          <w:color w:val="000000"/>
          <w:kern w:val="0"/>
          <w:sz w:val="24"/>
          <w:szCs w:val="24"/>
        </w:rPr>
      </w:pPr>
      <w:bookmarkStart w:id="0" w:name="_GoBack"/>
      <w:bookmarkEnd w:id="0"/>
    </w:p>
    <w:p w:rsidR="00452D7E" w:rsidRDefault="0035273C">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452D7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占产品资产净值比例（％）</w:t>
            </w:r>
          </w:p>
        </w:tc>
      </w:tr>
      <w:tr w:rsidR="00B821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21F4" w:rsidRDefault="00B821F4">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21F4" w:rsidRPr="00B821F4" w:rsidRDefault="00B821F4" w:rsidP="00B821F4">
            <w:pPr>
              <w:pStyle w:val="biaogecenter"/>
              <w:wordWrap w:val="0"/>
              <w:rPr>
                <w:color w:val="000000"/>
              </w:rPr>
            </w:pPr>
            <w:r w:rsidRPr="00B821F4">
              <w:rPr>
                <w:rFonts w:hint="eastAsia"/>
                <w:color w:val="000000"/>
              </w:rPr>
              <w:t>ZJQTT202103220001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鑫元基金-鑫安利得52号集合资产管理计划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390,274,420.03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25.53</w:t>
            </w:r>
          </w:p>
        </w:tc>
      </w:tr>
      <w:tr w:rsidR="00B821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21F4" w:rsidRDefault="00B821F4">
            <w:pPr>
              <w:pStyle w:val="biaogecenter"/>
              <w:wordWrap w:val="0"/>
            </w:pPr>
            <w:r>
              <w:rPr>
                <w:rFonts w:hint="eastAsia"/>
                <w:color w:val="000000"/>
              </w:rPr>
              <w:lastRenderedPageBreak/>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21F4" w:rsidRPr="00B821F4" w:rsidRDefault="00B821F4" w:rsidP="00B821F4">
            <w:pPr>
              <w:pStyle w:val="biaogecenter"/>
              <w:wordWrap w:val="0"/>
              <w:rPr>
                <w:color w:val="000000"/>
              </w:rPr>
            </w:pPr>
            <w:r w:rsidRPr="00B821F4">
              <w:rPr>
                <w:rFonts w:hint="eastAsia"/>
                <w:color w:val="000000"/>
              </w:rPr>
              <w:t>ZJQTT202202230001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鑫元基金-鑫安利得59号集合资产管理计划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309,778,249.24</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20.27</w:t>
            </w:r>
          </w:p>
        </w:tc>
      </w:tr>
      <w:tr w:rsidR="00B821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21F4" w:rsidRDefault="00B821F4">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21F4" w:rsidRPr="00B821F4" w:rsidRDefault="00B821F4" w:rsidP="00B821F4">
            <w:pPr>
              <w:pStyle w:val="biaogecenter"/>
              <w:wordWrap w:val="0"/>
              <w:rPr>
                <w:color w:val="000000"/>
              </w:rPr>
            </w:pPr>
            <w:r w:rsidRPr="00B821F4">
              <w:rPr>
                <w:rFonts w:hint="eastAsia"/>
                <w:color w:val="000000"/>
              </w:rPr>
              <w:t>22088799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22南京滨江05</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295,000,000.00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19.30</w:t>
            </w:r>
          </w:p>
        </w:tc>
      </w:tr>
      <w:tr w:rsidR="00B821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21F4" w:rsidRDefault="00B821F4">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21F4" w:rsidRPr="00B821F4" w:rsidRDefault="00B821F4" w:rsidP="00B821F4">
            <w:pPr>
              <w:pStyle w:val="biaogecenter"/>
              <w:wordWrap w:val="0"/>
              <w:rPr>
                <w:color w:val="000000"/>
              </w:rPr>
            </w:pPr>
            <w:r w:rsidRPr="00B821F4">
              <w:rPr>
                <w:rFonts w:hint="eastAsia"/>
                <w:color w:val="000000"/>
              </w:rPr>
              <w:t>22088763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22江宁城建04</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120,000,000.00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7.85</w:t>
            </w:r>
          </w:p>
        </w:tc>
      </w:tr>
      <w:tr w:rsidR="00B821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21F4" w:rsidRDefault="00B821F4">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21F4" w:rsidRPr="00B821F4" w:rsidRDefault="00B821F4" w:rsidP="00B821F4">
            <w:pPr>
              <w:pStyle w:val="biaogecenter"/>
              <w:wordWrap w:val="0"/>
              <w:rPr>
                <w:color w:val="000000"/>
              </w:rPr>
            </w:pPr>
            <w:r w:rsidRPr="00B821F4">
              <w:rPr>
                <w:rFonts w:hint="eastAsia"/>
                <w:color w:val="000000"/>
              </w:rPr>
              <w:t>22088776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22淮安国联06</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6.54</w:t>
            </w:r>
          </w:p>
        </w:tc>
      </w:tr>
      <w:tr w:rsidR="00B821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21F4" w:rsidRDefault="00B821F4">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21F4" w:rsidRPr="00B821F4" w:rsidRDefault="00B821F4" w:rsidP="00B821F4">
            <w:pPr>
              <w:pStyle w:val="biaogecenter"/>
              <w:wordWrap w:val="0"/>
              <w:rPr>
                <w:color w:val="000000"/>
              </w:rPr>
            </w:pPr>
            <w:r w:rsidRPr="00B821F4">
              <w:rPr>
                <w:rFonts w:hint="eastAsia"/>
                <w:color w:val="000000"/>
              </w:rPr>
              <w:t>22088859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22安吉两山01（绿色）</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97,000,000.00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6.35</w:t>
            </w:r>
          </w:p>
        </w:tc>
      </w:tr>
      <w:tr w:rsidR="00B821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21F4" w:rsidRDefault="00B821F4">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21F4" w:rsidRPr="00B821F4" w:rsidRDefault="00B821F4" w:rsidP="00B821F4">
            <w:pPr>
              <w:pStyle w:val="biaogecenter"/>
              <w:wordWrap w:val="0"/>
              <w:rPr>
                <w:color w:val="000000"/>
              </w:rPr>
            </w:pPr>
            <w:r w:rsidRPr="00B821F4">
              <w:rPr>
                <w:rFonts w:hint="eastAsia"/>
                <w:color w:val="000000"/>
              </w:rPr>
              <w:t>ZJQTT202103180021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华夏基金恒益1号集合资产管理计划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89,770,048.33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5.87</w:t>
            </w:r>
          </w:p>
        </w:tc>
      </w:tr>
      <w:tr w:rsidR="00B821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21F4" w:rsidRDefault="00B821F4">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21F4" w:rsidRPr="00B821F4" w:rsidRDefault="00B821F4" w:rsidP="00B821F4">
            <w:pPr>
              <w:pStyle w:val="biaogecenter"/>
              <w:wordWrap w:val="0"/>
              <w:rPr>
                <w:color w:val="000000"/>
              </w:rPr>
            </w:pPr>
            <w:r w:rsidRPr="00B821F4">
              <w:rPr>
                <w:rFonts w:hint="eastAsia"/>
                <w:color w:val="000000"/>
              </w:rPr>
              <w:t>22088878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22兴化城投02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3.27</w:t>
            </w:r>
          </w:p>
        </w:tc>
      </w:tr>
      <w:tr w:rsidR="00B821F4">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21F4" w:rsidRDefault="00B821F4">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21F4" w:rsidRPr="00B821F4" w:rsidRDefault="00B821F4" w:rsidP="00B821F4">
            <w:pPr>
              <w:pStyle w:val="biaogecenter"/>
              <w:wordWrap w:val="0"/>
              <w:rPr>
                <w:color w:val="000000"/>
              </w:rPr>
            </w:pPr>
            <w:r w:rsidRPr="00B821F4">
              <w:rPr>
                <w:rFonts w:hint="eastAsia"/>
                <w:color w:val="000000"/>
              </w:rPr>
              <w:t>22088786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22清浦城投01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33,000,000.00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2.16</w:t>
            </w:r>
          </w:p>
        </w:tc>
      </w:tr>
      <w:tr w:rsidR="00B821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21F4" w:rsidRDefault="00B821F4">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21F4" w:rsidRPr="00B821F4" w:rsidRDefault="00B821F4" w:rsidP="00B821F4">
            <w:pPr>
              <w:pStyle w:val="biaogecenter"/>
              <w:wordWrap w:val="0"/>
              <w:rPr>
                <w:color w:val="000000"/>
              </w:rPr>
            </w:pPr>
            <w:r w:rsidRPr="00B821F4">
              <w:rPr>
                <w:rFonts w:hint="eastAsia"/>
                <w:color w:val="000000"/>
              </w:rPr>
              <w:t>22088839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22宿迁运河港03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30,000,000.00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21F4" w:rsidRPr="00B821F4" w:rsidRDefault="00B821F4" w:rsidP="00B821F4">
            <w:pPr>
              <w:pStyle w:val="biaogecenter"/>
              <w:wordWrap w:val="0"/>
              <w:rPr>
                <w:color w:val="000000"/>
              </w:rPr>
            </w:pPr>
            <w:r w:rsidRPr="00B821F4">
              <w:rPr>
                <w:rFonts w:hint="eastAsia"/>
                <w:color w:val="000000"/>
              </w:rPr>
              <w:t>1.96</w:t>
            </w:r>
          </w:p>
        </w:tc>
      </w:tr>
    </w:tbl>
    <w:p w:rsidR="00452D7E" w:rsidRDefault="00452D7E">
      <w:pPr>
        <w:widowControl/>
        <w:jc w:val="left"/>
        <w:rPr>
          <w:rFonts w:ascii="宋体" w:hAnsi="宋体" w:cs="宋体"/>
          <w:b/>
          <w:sz w:val="24"/>
          <w:szCs w:val="24"/>
          <w:shd w:val="clear" w:color="auto" w:fill="FFFFFF"/>
        </w:rPr>
      </w:pPr>
    </w:p>
    <w:p w:rsidR="00452D7E" w:rsidRDefault="0035273C">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452D7E" w:rsidRDefault="00452D7E">
      <w:pPr>
        <w:widowControl/>
        <w:jc w:val="left"/>
        <w:rPr>
          <w:b/>
          <w:shd w:val="clear" w:color="auto" w:fill="FFFFFF"/>
        </w:rPr>
      </w:pPr>
    </w:p>
    <w:tbl>
      <w:tblPr>
        <w:tblW w:w="0" w:type="auto"/>
        <w:tblInd w:w="108" w:type="dxa"/>
        <w:tblLayout w:type="fixed"/>
        <w:tblLook w:val="04A0"/>
      </w:tblPr>
      <w:tblGrid>
        <w:gridCol w:w="546"/>
        <w:gridCol w:w="2006"/>
        <w:gridCol w:w="1417"/>
        <w:gridCol w:w="961"/>
        <w:gridCol w:w="1874"/>
        <w:gridCol w:w="1276"/>
        <w:gridCol w:w="851"/>
      </w:tblGrid>
      <w:tr w:rsidR="00452D7E" w:rsidTr="006A2AC6">
        <w:tc>
          <w:tcPr>
            <w:tcW w:w="54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序号</w:t>
            </w:r>
          </w:p>
        </w:tc>
        <w:tc>
          <w:tcPr>
            <w:tcW w:w="200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融资客户</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项目名称</w:t>
            </w:r>
          </w:p>
        </w:tc>
        <w:tc>
          <w:tcPr>
            <w:tcW w:w="96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剩余融资期限</w:t>
            </w:r>
          </w:p>
        </w:tc>
        <w:tc>
          <w:tcPr>
            <w:tcW w:w="1874"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风险状况</w:t>
            </w:r>
          </w:p>
        </w:tc>
      </w:tr>
      <w:tr w:rsidR="000E27EA"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E27EA" w:rsidRDefault="000E27EA">
            <w:pPr>
              <w:pStyle w:val="biaogecenter"/>
              <w:rPr>
                <w:rFonts w:hAnsi="Calibri"/>
                <w:shd w:val="clear" w:color="auto" w:fill="FFFFFF"/>
              </w:rPr>
            </w:pPr>
            <w:r>
              <w:rPr>
                <w:rFonts w:hAnsi="Calibri" w:hint="eastAsia"/>
                <w:shd w:val="clear" w:color="auto" w:fill="FFFFFF"/>
              </w:rPr>
              <w:t>1</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淮安市清浦城市建设投资开发有限公司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22清浦城投01</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267天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w:t>
            </w:r>
          </w:p>
        </w:tc>
      </w:tr>
      <w:tr w:rsidR="000E27EA"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E27EA" w:rsidRDefault="000E27EA">
            <w:pPr>
              <w:pStyle w:val="biaogecenter"/>
              <w:rPr>
                <w:rFonts w:hAnsi="Calibri"/>
                <w:shd w:val="clear" w:color="auto" w:fill="FFFFFF"/>
              </w:rPr>
            </w:pPr>
            <w:r>
              <w:rPr>
                <w:rFonts w:hAnsi="Calibri" w:hint="eastAsia"/>
                <w:shd w:val="clear" w:color="auto" w:fill="FFFFFF"/>
              </w:rPr>
              <w:t>2</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宿迁市运河港区开发集团有限公司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22宿迁运河港03</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272天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w:t>
            </w:r>
          </w:p>
        </w:tc>
      </w:tr>
      <w:tr w:rsidR="000E27EA"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E27EA" w:rsidRDefault="000E27EA">
            <w:pPr>
              <w:pStyle w:val="biaogecenter"/>
              <w:rPr>
                <w:rFonts w:hAnsi="Calibri"/>
                <w:shd w:val="clear" w:color="auto" w:fill="FFFFFF"/>
              </w:rPr>
            </w:pPr>
            <w:r>
              <w:rPr>
                <w:rFonts w:hAnsi="Calibri" w:hint="eastAsia"/>
                <w:shd w:val="clear" w:color="auto" w:fill="FFFFFF"/>
              </w:rPr>
              <w:t>3</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南京滨江投资发展有限公司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22南京滨江05</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267天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按季付息，到期还本</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w:t>
            </w:r>
          </w:p>
        </w:tc>
      </w:tr>
      <w:tr w:rsidR="000E27EA"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E27EA" w:rsidRDefault="000E27EA">
            <w:pPr>
              <w:pStyle w:val="biaogecenter"/>
              <w:rPr>
                <w:rFonts w:hAnsi="Calibri"/>
                <w:shd w:val="clear" w:color="auto" w:fill="FFFFFF"/>
              </w:rPr>
            </w:pPr>
            <w:r>
              <w:rPr>
                <w:rFonts w:hAnsi="Calibri" w:hint="eastAsia"/>
                <w:shd w:val="clear" w:color="auto" w:fill="FFFFFF"/>
              </w:rPr>
              <w:t>4</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兴化市城市建设投资有限公司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22兴化城投02</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273天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w:t>
            </w:r>
          </w:p>
        </w:tc>
      </w:tr>
      <w:tr w:rsidR="000E27EA"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E27EA" w:rsidRDefault="000E27EA">
            <w:pPr>
              <w:pStyle w:val="biaogecenter"/>
              <w:rPr>
                <w:rFonts w:hAnsi="Calibri"/>
                <w:shd w:val="clear" w:color="auto" w:fill="FFFFFF"/>
              </w:rPr>
            </w:pPr>
            <w:r>
              <w:rPr>
                <w:rFonts w:hAnsi="Calibri" w:hint="eastAsia"/>
                <w:shd w:val="clear" w:color="auto" w:fill="FFFFFF"/>
              </w:rPr>
              <w:t>5</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浙江安吉两山国有控股集团有限公司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22安吉两山01（绿色）</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273天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w:t>
            </w:r>
          </w:p>
        </w:tc>
      </w:tr>
      <w:tr w:rsidR="000E27EA"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E27EA" w:rsidRDefault="000E27EA">
            <w:pPr>
              <w:pStyle w:val="biaogecenter"/>
              <w:rPr>
                <w:rFonts w:hAnsi="Calibri"/>
                <w:shd w:val="clear" w:color="auto" w:fill="FFFFFF"/>
              </w:rPr>
            </w:pPr>
            <w:r>
              <w:rPr>
                <w:rFonts w:hAnsi="Calibri" w:hint="eastAsia"/>
                <w:shd w:val="clear" w:color="auto" w:fill="FFFFFF"/>
              </w:rPr>
              <w:t>6</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淮安市国有联合投资发展集团有限公司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22淮安国联06</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266天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按半年付息，到期还本</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w:t>
            </w:r>
          </w:p>
        </w:tc>
      </w:tr>
      <w:tr w:rsidR="000E27EA"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E27EA" w:rsidRDefault="000E27EA">
            <w:pPr>
              <w:pStyle w:val="biaogecenter"/>
              <w:rPr>
                <w:rFonts w:hAnsi="Calibri"/>
                <w:shd w:val="clear" w:color="auto" w:fill="FFFFFF"/>
              </w:rPr>
            </w:pPr>
            <w:r>
              <w:rPr>
                <w:rFonts w:hAnsi="Calibri" w:hint="eastAsia"/>
                <w:shd w:val="clear" w:color="auto" w:fill="FFFFFF"/>
              </w:rPr>
              <w:t>7</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南京江宁城市建设集团有限公司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22江宁城建04</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260天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E27EA" w:rsidRPr="000E27EA" w:rsidRDefault="000E27EA" w:rsidP="000E27EA">
            <w:pPr>
              <w:pStyle w:val="biaogecenter"/>
              <w:wordWrap w:val="0"/>
              <w:rPr>
                <w:shd w:val="clear" w:color="auto" w:fill="FFFFFF"/>
              </w:rPr>
            </w:pPr>
            <w:r w:rsidRPr="000E27EA">
              <w:rPr>
                <w:rFonts w:hint="eastAsia"/>
                <w:shd w:val="clear" w:color="auto" w:fill="FFFFFF"/>
              </w:rPr>
              <w:t>-</w:t>
            </w:r>
          </w:p>
        </w:tc>
      </w:tr>
    </w:tbl>
    <w:p w:rsidR="00452D7E" w:rsidRDefault="00452D7E">
      <w:pPr>
        <w:widowControl/>
        <w:jc w:val="left"/>
        <w:rPr>
          <w:rFonts w:ascii="宋体" w:hAnsi="宋体" w:cs="宋体"/>
          <w:color w:val="000000"/>
          <w:kern w:val="0"/>
          <w:sz w:val="24"/>
          <w:szCs w:val="24"/>
        </w:rPr>
      </w:pPr>
    </w:p>
    <w:p w:rsidR="00452D7E" w:rsidRDefault="0035273C">
      <w:pPr>
        <w:pStyle w:val="dazhangjie"/>
        <w:rPr>
          <w:b/>
          <w:bCs/>
          <w:color w:val="000000"/>
        </w:rPr>
      </w:pPr>
      <w:r>
        <w:rPr>
          <w:rFonts w:hint="eastAsia"/>
          <w:b/>
          <w:bCs/>
          <w:color w:val="000000"/>
        </w:rPr>
        <w:t>§5 投资账户信息</w:t>
      </w:r>
    </w:p>
    <w:tbl>
      <w:tblPr>
        <w:tblW w:w="4939" w:type="pct"/>
        <w:tblInd w:w="109" w:type="dxa"/>
        <w:tblLook w:val="04A0"/>
      </w:tblPr>
      <w:tblGrid>
        <w:gridCol w:w="711"/>
        <w:gridCol w:w="1234"/>
        <w:gridCol w:w="2247"/>
        <w:gridCol w:w="3765"/>
        <w:gridCol w:w="1235"/>
      </w:tblGrid>
      <w:tr w:rsidR="00452D7E" w:rsidTr="00AC35F9">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rPr>
                <w:shd w:val="clear" w:color="auto" w:fill="FFFFFF"/>
              </w:rPr>
            </w:pPr>
            <w:r>
              <w:rPr>
                <w:rFonts w:hAnsi="Calibri" w:hint="eastAsia"/>
                <w:shd w:val="clear" w:color="auto" w:fill="FFFFFF"/>
              </w:rPr>
              <w:lastRenderedPageBreak/>
              <w:t>序号</w:t>
            </w:r>
          </w:p>
        </w:tc>
        <w:tc>
          <w:tcPr>
            <w:tcW w:w="671"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账户类型</w:t>
            </w:r>
          </w:p>
        </w:tc>
        <w:tc>
          <w:tcPr>
            <w:tcW w:w="122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账号</w:t>
            </w:r>
          </w:p>
        </w:tc>
        <w:tc>
          <w:tcPr>
            <w:tcW w:w="2048"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账户名称</w:t>
            </w:r>
          </w:p>
        </w:tc>
        <w:tc>
          <w:tcPr>
            <w:tcW w:w="67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开户单位</w:t>
            </w:r>
          </w:p>
        </w:tc>
      </w:tr>
      <w:tr w:rsidR="00AC35F9" w:rsidTr="00AC35F9">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AC35F9" w:rsidRDefault="00AC35F9">
            <w:pPr>
              <w:pStyle w:val="biaogecenter"/>
              <w:wordWrap w:val="0"/>
              <w:rPr>
                <w:shd w:val="clear" w:color="auto" w:fill="FFFFFF"/>
              </w:rPr>
            </w:pPr>
            <w:r>
              <w:rPr>
                <w:rFonts w:hAnsi="Calibri" w:hint="eastAsia"/>
                <w:shd w:val="clear" w:color="auto" w:fill="FFFFFF"/>
              </w:rPr>
              <w:t>1</w:t>
            </w:r>
          </w:p>
        </w:tc>
        <w:tc>
          <w:tcPr>
            <w:tcW w:w="671" w:type="pct"/>
            <w:tcBorders>
              <w:top w:val="single" w:sz="8" w:space="0" w:color="000000"/>
              <w:left w:val="single" w:sz="8" w:space="0" w:color="000000"/>
              <w:bottom w:val="single" w:sz="8" w:space="0" w:color="000000"/>
              <w:right w:val="single" w:sz="8" w:space="0" w:color="000000"/>
            </w:tcBorders>
            <w:noWrap/>
            <w:vAlign w:val="bottom"/>
          </w:tcPr>
          <w:p w:rsidR="00AC35F9" w:rsidRDefault="00AC35F9">
            <w:pPr>
              <w:pStyle w:val="biaogecenter"/>
              <w:wordWrap w:val="0"/>
              <w:rPr>
                <w:shd w:val="clear" w:color="auto" w:fill="FFFFFF"/>
              </w:rPr>
            </w:pPr>
            <w:r>
              <w:rPr>
                <w:shd w:val="clear" w:color="auto" w:fill="FFFFFF"/>
              </w:rPr>
              <w:t>托管账户</w:t>
            </w:r>
          </w:p>
        </w:tc>
        <w:tc>
          <w:tcPr>
            <w:tcW w:w="1222" w:type="pct"/>
            <w:tcBorders>
              <w:top w:val="single" w:sz="8" w:space="0" w:color="000000"/>
              <w:left w:val="single" w:sz="8" w:space="0" w:color="000000"/>
              <w:bottom w:val="single" w:sz="8" w:space="0" w:color="000000"/>
              <w:right w:val="single" w:sz="8" w:space="0" w:color="000000"/>
            </w:tcBorders>
            <w:noWrap/>
            <w:vAlign w:val="center"/>
          </w:tcPr>
          <w:p w:rsidR="00AC35F9" w:rsidRPr="00AC35F9" w:rsidRDefault="00AC35F9" w:rsidP="00AC35F9">
            <w:pPr>
              <w:pStyle w:val="biaogecenter"/>
              <w:wordWrap w:val="0"/>
              <w:rPr>
                <w:shd w:val="clear" w:color="auto" w:fill="FFFFFF"/>
              </w:rPr>
            </w:pPr>
            <w:r w:rsidRPr="00AC35F9">
              <w:rPr>
                <w:rFonts w:hint="eastAsia"/>
                <w:shd w:val="clear" w:color="auto" w:fill="FFFFFF"/>
              </w:rPr>
              <w:t>0120040000000835</w:t>
            </w:r>
          </w:p>
        </w:tc>
        <w:tc>
          <w:tcPr>
            <w:tcW w:w="2048" w:type="pct"/>
            <w:tcBorders>
              <w:top w:val="single" w:sz="8" w:space="0" w:color="000000"/>
              <w:left w:val="single" w:sz="8" w:space="0" w:color="000000"/>
              <w:bottom w:val="single" w:sz="8" w:space="0" w:color="000000"/>
              <w:right w:val="single" w:sz="8" w:space="0" w:color="000000"/>
            </w:tcBorders>
            <w:noWrap/>
            <w:vAlign w:val="center"/>
          </w:tcPr>
          <w:p w:rsidR="00AC35F9" w:rsidRPr="00AC35F9" w:rsidRDefault="00AC35F9" w:rsidP="00AC35F9">
            <w:pPr>
              <w:pStyle w:val="biaogecenter"/>
              <w:wordWrap w:val="0"/>
              <w:rPr>
                <w:shd w:val="clear" w:color="auto" w:fill="FFFFFF"/>
              </w:rPr>
            </w:pPr>
            <w:r w:rsidRPr="00AC35F9">
              <w:rPr>
                <w:rFonts w:hint="eastAsia"/>
                <w:shd w:val="clear" w:color="auto" w:fill="FFFFFF"/>
              </w:rPr>
              <w:t>南银理财鑫逸稳一年64期</w:t>
            </w:r>
          </w:p>
        </w:tc>
        <w:tc>
          <w:tcPr>
            <w:tcW w:w="672" w:type="pct"/>
            <w:tcBorders>
              <w:top w:val="single" w:sz="8" w:space="0" w:color="000000"/>
              <w:left w:val="single" w:sz="8" w:space="0" w:color="000000"/>
              <w:bottom w:val="single" w:sz="8" w:space="0" w:color="000000"/>
              <w:right w:val="single" w:sz="8" w:space="0" w:color="000000"/>
            </w:tcBorders>
            <w:noWrap/>
            <w:vAlign w:val="center"/>
          </w:tcPr>
          <w:p w:rsidR="00AC35F9" w:rsidRDefault="00AC35F9">
            <w:pPr>
              <w:pStyle w:val="biaogecenter"/>
              <w:wordWrap w:val="0"/>
              <w:rPr>
                <w:shd w:val="clear" w:color="auto" w:fill="FFFFFF"/>
              </w:rPr>
            </w:pPr>
            <w:r>
              <w:rPr>
                <w:shd w:val="clear" w:color="auto" w:fill="FFFFFF"/>
              </w:rPr>
              <w:t>南京银行</w:t>
            </w:r>
          </w:p>
        </w:tc>
      </w:tr>
    </w:tbl>
    <w:p w:rsidR="00452D7E" w:rsidRDefault="00452D7E">
      <w:pPr>
        <w:pStyle w:val="dazhangjie"/>
        <w:rPr>
          <w:b/>
          <w:bCs/>
          <w:color w:val="000000"/>
        </w:rPr>
      </w:pPr>
    </w:p>
    <w:p w:rsidR="0070444C" w:rsidRPr="0070444C" w:rsidRDefault="0070444C" w:rsidP="0070444C">
      <w:pPr>
        <w:widowControl/>
        <w:spacing w:before="100" w:beforeAutospacing="1" w:after="100" w:afterAutospacing="1"/>
        <w:jc w:val="center"/>
        <w:rPr>
          <w:rFonts w:ascii="宋体" w:hAnsi="宋体"/>
          <w:b/>
          <w:bCs/>
          <w:color w:val="000000"/>
          <w:kern w:val="0"/>
          <w:sz w:val="24"/>
          <w:szCs w:val="24"/>
        </w:rPr>
      </w:pPr>
      <w:r w:rsidRPr="0070444C">
        <w:rPr>
          <w:rFonts w:ascii="宋体" w:hAnsi="Calibri" w:hint="eastAsia"/>
          <w:b/>
          <w:color w:val="000000"/>
          <w:kern w:val="0"/>
          <w:sz w:val="24"/>
          <w:szCs w:val="24"/>
        </w:rPr>
        <w:t>§</w:t>
      </w:r>
      <w:r w:rsidRPr="0070444C">
        <w:rPr>
          <w:rFonts w:ascii="宋体" w:hAnsi="Calibri"/>
          <w:b/>
          <w:color w:val="000000"/>
          <w:kern w:val="0"/>
          <w:sz w:val="24"/>
          <w:szCs w:val="24"/>
        </w:rPr>
        <w:t xml:space="preserve">6  </w:t>
      </w:r>
      <w:r w:rsidRPr="0070444C">
        <w:rPr>
          <w:rFonts w:ascii="宋体" w:hAnsi="宋体" w:hint="eastAsia"/>
          <w:b/>
          <w:bCs/>
          <w:color w:val="000000"/>
          <w:kern w:val="0"/>
          <w:sz w:val="24"/>
          <w:szCs w:val="24"/>
        </w:rPr>
        <w:t>关联交易情况</w:t>
      </w:r>
    </w:p>
    <w:p w:rsidR="0070444C" w:rsidRPr="0070444C" w:rsidRDefault="0070444C" w:rsidP="0070444C">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70444C">
        <w:rPr>
          <w:rFonts w:ascii="宋体" w:hAnsi="宋体" w:hint="eastAsia"/>
          <w:sz w:val="24"/>
          <w:szCs w:val="21"/>
        </w:rPr>
        <w:t>报告期内，产品投资于关联方发行的证券、关联方作为融资人的非标准化债权类资产业务交易金额</w:t>
      </w:r>
      <w:r w:rsidRPr="0070444C">
        <w:rPr>
          <w:rFonts w:ascii="宋体"/>
          <w:sz w:val="24"/>
          <w:szCs w:val="21"/>
        </w:rPr>
        <w:t>0.00</w:t>
      </w:r>
      <w:r w:rsidRPr="0070444C">
        <w:rPr>
          <w:rFonts w:ascii="宋体" w:hAnsi="宋体" w:hint="eastAsia"/>
          <w:sz w:val="24"/>
          <w:szCs w:val="21"/>
        </w:rPr>
        <w:t>元。</w:t>
      </w:r>
    </w:p>
    <w:p w:rsidR="0070444C" w:rsidRPr="0070444C" w:rsidRDefault="0070444C" w:rsidP="0070444C">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70444C">
        <w:rPr>
          <w:rFonts w:ascii="宋体" w:hAnsi="宋体" w:hint="eastAsia"/>
          <w:sz w:val="24"/>
          <w:szCs w:val="21"/>
        </w:rPr>
        <w:t>产品投资于关联方承销的证券交易金额</w:t>
      </w:r>
      <w:r w:rsidRPr="0070444C">
        <w:rPr>
          <w:rFonts w:ascii="宋体"/>
          <w:sz w:val="24"/>
          <w:szCs w:val="21"/>
        </w:rPr>
        <w:t>0.00</w:t>
      </w:r>
      <w:r w:rsidRPr="0070444C">
        <w:rPr>
          <w:rFonts w:ascii="宋体" w:hAnsi="宋体" w:hint="eastAsia"/>
          <w:sz w:val="24"/>
          <w:szCs w:val="21"/>
        </w:rPr>
        <w:t>元。</w:t>
      </w:r>
    </w:p>
    <w:p w:rsidR="0070444C" w:rsidRPr="0070444C" w:rsidRDefault="0070444C" w:rsidP="0070444C">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70444C">
        <w:rPr>
          <w:rFonts w:ascii="宋体" w:hAnsi="宋体" w:hint="eastAsia"/>
          <w:sz w:val="24"/>
          <w:szCs w:val="21"/>
        </w:rPr>
        <w:t>产品与关联方作为交易对手开展的投融资业务交易金额</w:t>
      </w:r>
      <w:r w:rsidRPr="0070444C">
        <w:rPr>
          <w:rFonts w:ascii="宋体"/>
          <w:sz w:val="24"/>
          <w:szCs w:val="21"/>
        </w:rPr>
        <w:t>0.00</w:t>
      </w:r>
      <w:r w:rsidRPr="0070444C">
        <w:rPr>
          <w:rFonts w:ascii="宋体" w:hAnsi="宋体" w:hint="eastAsia"/>
          <w:sz w:val="24"/>
          <w:szCs w:val="21"/>
        </w:rPr>
        <w:t>元。</w:t>
      </w:r>
    </w:p>
    <w:p w:rsidR="0070444C" w:rsidRPr="0070444C" w:rsidRDefault="0070444C" w:rsidP="0070444C">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70444C">
        <w:rPr>
          <w:rFonts w:ascii="宋体" w:hAnsi="宋体" w:hint="eastAsia"/>
          <w:sz w:val="24"/>
          <w:szCs w:val="21"/>
        </w:rPr>
        <w:t>产品投资关联方作为管理人的资产管理产品交易金额</w:t>
      </w:r>
      <w:r w:rsidRPr="0070444C">
        <w:rPr>
          <w:rFonts w:ascii="宋体"/>
          <w:sz w:val="24"/>
          <w:szCs w:val="21"/>
        </w:rPr>
        <w:t>0.00</w:t>
      </w:r>
      <w:r w:rsidRPr="0070444C">
        <w:rPr>
          <w:rFonts w:ascii="宋体" w:hAnsi="宋体" w:hint="eastAsia"/>
          <w:sz w:val="24"/>
          <w:szCs w:val="21"/>
        </w:rPr>
        <w:t>元。</w:t>
      </w:r>
    </w:p>
    <w:p w:rsidR="0070444C" w:rsidRPr="0070444C" w:rsidRDefault="0070444C" w:rsidP="0070444C">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70444C">
        <w:rPr>
          <w:rFonts w:ascii="宋体" w:hAnsi="宋体" w:hint="eastAsia"/>
          <w:sz w:val="24"/>
          <w:szCs w:val="21"/>
        </w:rPr>
        <w:t>产品</w:t>
      </w:r>
      <w:r w:rsidR="001F1682">
        <w:rPr>
          <w:rFonts w:ascii="宋体" w:hAnsi="宋体" w:hint="eastAsia"/>
          <w:sz w:val="24"/>
          <w:szCs w:val="21"/>
        </w:rPr>
        <w:t>应</w:t>
      </w:r>
      <w:r w:rsidRPr="0070444C">
        <w:rPr>
          <w:rFonts w:ascii="宋体" w:hAnsi="宋体" w:hint="eastAsia"/>
          <w:sz w:val="24"/>
          <w:szCs w:val="21"/>
        </w:rPr>
        <w:t>支付关联方托管费</w:t>
      </w:r>
      <w:r w:rsidRPr="0070444C">
        <w:rPr>
          <w:rFonts w:ascii="宋体" w:hAnsi="宋体"/>
          <w:sz w:val="24"/>
          <w:szCs w:val="21"/>
        </w:rPr>
        <w:t>76,702.77</w:t>
      </w:r>
      <w:r w:rsidRPr="0070444C">
        <w:rPr>
          <w:rFonts w:ascii="宋体" w:hAnsi="宋体" w:hint="eastAsia"/>
          <w:sz w:val="24"/>
          <w:szCs w:val="21"/>
        </w:rPr>
        <w:t>元，</w:t>
      </w:r>
      <w:r w:rsidR="001F1682">
        <w:rPr>
          <w:rFonts w:ascii="宋体" w:hAnsi="宋体" w:hint="eastAsia"/>
          <w:sz w:val="24"/>
          <w:szCs w:val="21"/>
        </w:rPr>
        <w:t>应</w:t>
      </w:r>
      <w:r w:rsidRPr="0070444C">
        <w:rPr>
          <w:rFonts w:ascii="宋体" w:hAnsi="宋体" w:hint="eastAsia"/>
          <w:sz w:val="24"/>
          <w:szCs w:val="21"/>
        </w:rPr>
        <w:t>支付关联方代销费</w:t>
      </w:r>
      <w:r w:rsidRPr="0070444C">
        <w:rPr>
          <w:rFonts w:ascii="宋体" w:hAnsi="宋体"/>
          <w:sz w:val="24"/>
          <w:szCs w:val="21"/>
        </w:rPr>
        <w:t>320,418.74</w:t>
      </w:r>
      <w:r w:rsidRPr="0070444C">
        <w:rPr>
          <w:rFonts w:ascii="宋体" w:hAnsi="宋体" w:hint="eastAsia"/>
          <w:sz w:val="24"/>
          <w:szCs w:val="21"/>
        </w:rPr>
        <w:t>元。</w:t>
      </w:r>
    </w:p>
    <w:p w:rsidR="0070444C" w:rsidRPr="0070444C" w:rsidRDefault="0070444C" w:rsidP="0070444C">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70444C">
        <w:rPr>
          <w:rFonts w:ascii="宋体" w:hAnsi="宋体" w:hint="eastAsia"/>
          <w:sz w:val="24"/>
          <w:szCs w:val="21"/>
        </w:rPr>
        <w:t>产品发生其他关联交易金额</w:t>
      </w:r>
      <w:r w:rsidRPr="0070444C">
        <w:rPr>
          <w:rFonts w:ascii="宋体"/>
          <w:sz w:val="24"/>
          <w:szCs w:val="21"/>
        </w:rPr>
        <w:t>0.00</w:t>
      </w:r>
      <w:r w:rsidRPr="0070444C">
        <w:rPr>
          <w:rFonts w:ascii="宋体" w:hAnsi="宋体" w:hint="eastAsia"/>
          <w:sz w:val="24"/>
          <w:szCs w:val="21"/>
        </w:rPr>
        <w:t>元。</w:t>
      </w:r>
    </w:p>
    <w:p w:rsidR="0070444C" w:rsidRPr="0070444C" w:rsidRDefault="0070444C" w:rsidP="0070444C">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70444C">
        <w:rPr>
          <w:rFonts w:ascii="宋体" w:hAnsi="宋体" w:cs="宋体" w:hint="eastAsia"/>
          <w:color w:val="000000"/>
          <w:kern w:val="0"/>
          <w:sz w:val="24"/>
          <w:szCs w:val="24"/>
        </w:rPr>
        <w:t>报告期内，产品未发生重大关联交易。</w:t>
      </w:r>
    </w:p>
    <w:p w:rsidR="00452D7E" w:rsidRPr="0070444C" w:rsidRDefault="00452D7E">
      <w:pPr>
        <w:widowControl/>
        <w:jc w:val="left"/>
        <w:rPr>
          <w:rFonts w:ascii="宋体" w:hAnsi="宋体" w:cs="宋体"/>
          <w:color w:val="000000"/>
          <w:kern w:val="0"/>
          <w:sz w:val="24"/>
          <w:szCs w:val="24"/>
        </w:rPr>
      </w:pPr>
    </w:p>
    <w:p w:rsidR="00452D7E" w:rsidRDefault="00452D7E">
      <w:pPr>
        <w:widowControl/>
        <w:jc w:val="left"/>
        <w:rPr>
          <w:color w:val="000000"/>
        </w:rPr>
      </w:pPr>
    </w:p>
    <w:p w:rsidR="00452D7E" w:rsidRDefault="0035273C">
      <w:pPr>
        <w:pStyle w:val="biaogeright"/>
        <w:rPr>
          <w:rFonts w:hAnsi="Calibri"/>
          <w:b/>
          <w:bCs/>
          <w:color w:val="000000"/>
        </w:rPr>
      </w:pPr>
      <w:r>
        <w:rPr>
          <w:rFonts w:hAnsi="Calibri" w:hint="eastAsia"/>
          <w:b/>
          <w:bCs/>
          <w:color w:val="000000"/>
        </w:rPr>
        <w:t>南银理财有限责任公司</w:t>
      </w:r>
    </w:p>
    <w:p w:rsidR="00452D7E" w:rsidRDefault="00DD7F07" w:rsidP="00DD7F07">
      <w:pPr>
        <w:pStyle w:val="biaogeright"/>
        <w:rPr>
          <w:rFonts w:hAnsi="Calibri"/>
          <w:b/>
          <w:bCs/>
          <w:color w:val="000000"/>
        </w:rPr>
      </w:pPr>
      <w:r>
        <w:rPr>
          <w:rFonts w:hAnsi="Calibri" w:hint="eastAsia"/>
          <w:b/>
          <w:bCs/>
          <w:color w:val="000000"/>
        </w:rPr>
        <w:t>2022年9月30日</w:t>
      </w:r>
    </w:p>
    <w:sectPr w:rsidR="00452D7E" w:rsidSect="00452D7E">
      <w:footerReference w:type="even" r:id="rId7"/>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A37" w:rsidRDefault="008A1A37" w:rsidP="00452D7E">
      <w:r>
        <w:separator/>
      </w:r>
    </w:p>
  </w:endnote>
  <w:endnote w:type="continuationSeparator" w:id="1">
    <w:p w:rsidR="008A1A37" w:rsidRDefault="008A1A37" w:rsidP="00452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D7E" w:rsidRDefault="00F15C50">
    <w:pPr>
      <w:pStyle w:val="a4"/>
      <w:framePr w:wrap="around" w:vAnchor="text" w:hAnchor="margin" w:xAlign="center" w:y="1"/>
      <w:rPr>
        <w:rStyle w:val="a8"/>
      </w:rPr>
    </w:pPr>
    <w:r>
      <w:fldChar w:fldCharType="begin"/>
    </w:r>
    <w:r w:rsidR="0035273C">
      <w:rPr>
        <w:rStyle w:val="a8"/>
      </w:rPr>
      <w:instrText xml:space="preserve">PAGE  </w:instrText>
    </w:r>
    <w:r>
      <w:fldChar w:fldCharType="end"/>
    </w:r>
  </w:p>
  <w:p w:rsidR="00452D7E" w:rsidRDefault="00452D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A37" w:rsidRDefault="008A1A37" w:rsidP="00452D7E">
      <w:r>
        <w:separator/>
      </w:r>
    </w:p>
  </w:footnote>
  <w:footnote w:type="continuationSeparator" w:id="1">
    <w:p w:rsidR="008A1A37" w:rsidRDefault="008A1A37" w:rsidP="00452D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8434"/>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E4C4A8A"/>
    <w:rsid w:val="000060E5"/>
    <w:rsid w:val="00021945"/>
    <w:rsid w:val="000304CD"/>
    <w:rsid w:val="00030F14"/>
    <w:rsid w:val="00034FF6"/>
    <w:rsid w:val="000446FF"/>
    <w:rsid w:val="0004489F"/>
    <w:rsid w:val="00044BFF"/>
    <w:rsid w:val="00047180"/>
    <w:rsid w:val="0005474A"/>
    <w:rsid w:val="00061725"/>
    <w:rsid w:val="00062DF3"/>
    <w:rsid w:val="00067722"/>
    <w:rsid w:val="00067886"/>
    <w:rsid w:val="00073368"/>
    <w:rsid w:val="00077DEB"/>
    <w:rsid w:val="00093286"/>
    <w:rsid w:val="000A07E0"/>
    <w:rsid w:val="000B285B"/>
    <w:rsid w:val="000C294E"/>
    <w:rsid w:val="000C3D76"/>
    <w:rsid w:val="000C44EE"/>
    <w:rsid w:val="000D5066"/>
    <w:rsid w:val="000D5F8E"/>
    <w:rsid w:val="000E27EA"/>
    <w:rsid w:val="000E2DC9"/>
    <w:rsid w:val="000E2E42"/>
    <w:rsid w:val="000E4562"/>
    <w:rsid w:val="000F254E"/>
    <w:rsid w:val="000F39B2"/>
    <w:rsid w:val="000F6191"/>
    <w:rsid w:val="000F6CC0"/>
    <w:rsid w:val="0010610C"/>
    <w:rsid w:val="001108E5"/>
    <w:rsid w:val="00110E09"/>
    <w:rsid w:val="001138D9"/>
    <w:rsid w:val="00125066"/>
    <w:rsid w:val="00130CE8"/>
    <w:rsid w:val="0013417A"/>
    <w:rsid w:val="00145A17"/>
    <w:rsid w:val="001508DF"/>
    <w:rsid w:val="00152201"/>
    <w:rsid w:val="001577F5"/>
    <w:rsid w:val="0016590B"/>
    <w:rsid w:val="00176636"/>
    <w:rsid w:val="00183C84"/>
    <w:rsid w:val="001A0B70"/>
    <w:rsid w:val="001A339C"/>
    <w:rsid w:val="001A637E"/>
    <w:rsid w:val="001B059F"/>
    <w:rsid w:val="001C05F9"/>
    <w:rsid w:val="001C07DF"/>
    <w:rsid w:val="001C0C56"/>
    <w:rsid w:val="001C5395"/>
    <w:rsid w:val="001D5A30"/>
    <w:rsid w:val="001D72A9"/>
    <w:rsid w:val="001F092C"/>
    <w:rsid w:val="001F1682"/>
    <w:rsid w:val="001F4650"/>
    <w:rsid w:val="00202434"/>
    <w:rsid w:val="002030FD"/>
    <w:rsid w:val="002114A7"/>
    <w:rsid w:val="00211F26"/>
    <w:rsid w:val="00217B0C"/>
    <w:rsid w:val="002263FC"/>
    <w:rsid w:val="0023550F"/>
    <w:rsid w:val="0024254D"/>
    <w:rsid w:val="00251657"/>
    <w:rsid w:val="0026513C"/>
    <w:rsid w:val="00265CCA"/>
    <w:rsid w:val="00271FCB"/>
    <w:rsid w:val="002767E0"/>
    <w:rsid w:val="002771FC"/>
    <w:rsid w:val="002813D0"/>
    <w:rsid w:val="00287123"/>
    <w:rsid w:val="002900B6"/>
    <w:rsid w:val="00290D0E"/>
    <w:rsid w:val="00293351"/>
    <w:rsid w:val="002A01E0"/>
    <w:rsid w:val="002A3AE9"/>
    <w:rsid w:val="002B36BD"/>
    <w:rsid w:val="002C196E"/>
    <w:rsid w:val="002D2F85"/>
    <w:rsid w:val="002D5FF8"/>
    <w:rsid w:val="002D75D0"/>
    <w:rsid w:val="002E2268"/>
    <w:rsid w:val="002E4C6D"/>
    <w:rsid w:val="002E795C"/>
    <w:rsid w:val="002F4102"/>
    <w:rsid w:val="0030118D"/>
    <w:rsid w:val="003101E0"/>
    <w:rsid w:val="00313925"/>
    <w:rsid w:val="0031695C"/>
    <w:rsid w:val="00321CB7"/>
    <w:rsid w:val="00327399"/>
    <w:rsid w:val="003273F4"/>
    <w:rsid w:val="003379A9"/>
    <w:rsid w:val="00340606"/>
    <w:rsid w:val="00347110"/>
    <w:rsid w:val="00350ADF"/>
    <w:rsid w:val="0035273C"/>
    <w:rsid w:val="00355623"/>
    <w:rsid w:val="0036553C"/>
    <w:rsid w:val="00373526"/>
    <w:rsid w:val="00374675"/>
    <w:rsid w:val="00376549"/>
    <w:rsid w:val="00381DC7"/>
    <w:rsid w:val="003867E5"/>
    <w:rsid w:val="00393899"/>
    <w:rsid w:val="003A0419"/>
    <w:rsid w:val="003B5524"/>
    <w:rsid w:val="003B73EB"/>
    <w:rsid w:val="003C2E6D"/>
    <w:rsid w:val="003E09EA"/>
    <w:rsid w:val="003E10A3"/>
    <w:rsid w:val="003F0AC3"/>
    <w:rsid w:val="004035EA"/>
    <w:rsid w:val="00411486"/>
    <w:rsid w:val="004135D0"/>
    <w:rsid w:val="0041604F"/>
    <w:rsid w:val="004179EF"/>
    <w:rsid w:val="00426B51"/>
    <w:rsid w:val="00436354"/>
    <w:rsid w:val="00437338"/>
    <w:rsid w:val="004432ED"/>
    <w:rsid w:val="0044756F"/>
    <w:rsid w:val="00452D7E"/>
    <w:rsid w:val="00456251"/>
    <w:rsid w:val="00466076"/>
    <w:rsid w:val="0047463D"/>
    <w:rsid w:val="00487AA2"/>
    <w:rsid w:val="00494476"/>
    <w:rsid w:val="004961A5"/>
    <w:rsid w:val="004C1607"/>
    <w:rsid w:val="004C5EFC"/>
    <w:rsid w:val="004E0C32"/>
    <w:rsid w:val="0050223A"/>
    <w:rsid w:val="005069D8"/>
    <w:rsid w:val="005134CF"/>
    <w:rsid w:val="005154D7"/>
    <w:rsid w:val="00534769"/>
    <w:rsid w:val="0054267A"/>
    <w:rsid w:val="00542961"/>
    <w:rsid w:val="00545F71"/>
    <w:rsid w:val="0055575C"/>
    <w:rsid w:val="00560678"/>
    <w:rsid w:val="00561127"/>
    <w:rsid w:val="0056162E"/>
    <w:rsid w:val="00567529"/>
    <w:rsid w:val="00567DB3"/>
    <w:rsid w:val="00586A85"/>
    <w:rsid w:val="005B1336"/>
    <w:rsid w:val="005B3434"/>
    <w:rsid w:val="005C7B8F"/>
    <w:rsid w:val="005D5415"/>
    <w:rsid w:val="005D5B56"/>
    <w:rsid w:val="005E7B32"/>
    <w:rsid w:val="005F2C7B"/>
    <w:rsid w:val="005F35FC"/>
    <w:rsid w:val="005F4D04"/>
    <w:rsid w:val="006054F8"/>
    <w:rsid w:val="0061061C"/>
    <w:rsid w:val="0062696F"/>
    <w:rsid w:val="00644987"/>
    <w:rsid w:val="00647876"/>
    <w:rsid w:val="0065419A"/>
    <w:rsid w:val="00654220"/>
    <w:rsid w:val="00654D9B"/>
    <w:rsid w:val="00663B94"/>
    <w:rsid w:val="00672F53"/>
    <w:rsid w:val="006765A5"/>
    <w:rsid w:val="00677F66"/>
    <w:rsid w:val="00684926"/>
    <w:rsid w:val="006909D1"/>
    <w:rsid w:val="006A0FE1"/>
    <w:rsid w:val="006A2AC6"/>
    <w:rsid w:val="006B7A7C"/>
    <w:rsid w:val="006C3B02"/>
    <w:rsid w:val="006C4BFA"/>
    <w:rsid w:val="006C633A"/>
    <w:rsid w:val="006D2006"/>
    <w:rsid w:val="006D4071"/>
    <w:rsid w:val="006E0D41"/>
    <w:rsid w:val="006E4E94"/>
    <w:rsid w:val="006F7C4D"/>
    <w:rsid w:val="0070444C"/>
    <w:rsid w:val="007113CF"/>
    <w:rsid w:val="0071180E"/>
    <w:rsid w:val="00714758"/>
    <w:rsid w:val="00730BEE"/>
    <w:rsid w:val="0073101E"/>
    <w:rsid w:val="00731E7E"/>
    <w:rsid w:val="00734796"/>
    <w:rsid w:val="00735153"/>
    <w:rsid w:val="00741092"/>
    <w:rsid w:val="00745421"/>
    <w:rsid w:val="00746812"/>
    <w:rsid w:val="00766DD5"/>
    <w:rsid w:val="007A07FF"/>
    <w:rsid w:val="007A37D9"/>
    <w:rsid w:val="007A4219"/>
    <w:rsid w:val="007C0BE5"/>
    <w:rsid w:val="007C422D"/>
    <w:rsid w:val="007D233D"/>
    <w:rsid w:val="007E2E92"/>
    <w:rsid w:val="007F5739"/>
    <w:rsid w:val="0080200C"/>
    <w:rsid w:val="008036C2"/>
    <w:rsid w:val="00814110"/>
    <w:rsid w:val="00816FC9"/>
    <w:rsid w:val="0082561A"/>
    <w:rsid w:val="00840DB7"/>
    <w:rsid w:val="00846B2E"/>
    <w:rsid w:val="00847155"/>
    <w:rsid w:val="008473F2"/>
    <w:rsid w:val="0088632D"/>
    <w:rsid w:val="00890186"/>
    <w:rsid w:val="008926F7"/>
    <w:rsid w:val="0089287C"/>
    <w:rsid w:val="008A0BA0"/>
    <w:rsid w:val="008A1A37"/>
    <w:rsid w:val="008A7510"/>
    <w:rsid w:val="008B1EB1"/>
    <w:rsid w:val="008B2958"/>
    <w:rsid w:val="008B54DB"/>
    <w:rsid w:val="008C68AE"/>
    <w:rsid w:val="008C78BD"/>
    <w:rsid w:val="008D3E3B"/>
    <w:rsid w:val="008D5587"/>
    <w:rsid w:val="008E165F"/>
    <w:rsid w:val="008E3B3F"/>
    <w:rsid w:val="008E3F0E"/>
    <w:rsid w:val="008F0C19"/>
    <w:rsid w:val="008F342A"/>
    <w:rsid w:val="00900D90"/>
    <w:rsid w:val="00916D74"/>
    <w:rsid w:val="00927A6B"/>
    <w:rsid w:val="009354D6"/>
    <w:rsid w:val="00937E17"/>
    <w:rsid w:val="00953236"/>
    <w:rsid w:val="00962A80"/>
    <w:rsid w:val="00964542"/>
    <w:rsid w:val="00964838"/>
    <w:rsid w:val="00970A98"/>
    <w:rsid w:val="00981ECB"/>
    <w:rsid w:val="00983B6A"/>
    <w:rsid w:val="009964B2"/>
    <w:rsid w:val="009A6044"/>
    <w:rsid w:val="009B6879"/>
    <w:rsid w:val="009C678E"/>
    <w:rsid w:val="009C781F"/>
    <w:rsid w:val="009E6170"/>
    <w:rsid w:val="00A103D6"/>
    <w:rsid w:val="00A13DF0"/>
    <w:rsid w:val="00A265CE"/>
    <w:rsid w:val="00A27743"/>
    <w:rsid w:val="00A4484F"/>
    <w:rsid w:val="00A5128A"/>
    <w:rsid w:val="00A55783"/>
    <w:rsid w:val="00A56791"/>
    <w:rsid w:val="00A60E33"/>
    <w:rsid w:val="00A76D4B"/>
    <w:rsid w:val="00A77C47"/>
    <w:rsid w:val="00A82B60"/>
    <w:rsid w:val="00A9119C"/>
    <w:rsid w:val="00A9205B"/>
    <w:rsid w:val="00AA0F98"/>
    <w:rsid w:val="00AA4549"/>
    <w:rsid w:val="00AB0A11"/>
    <w:rsid w:val="00AB0CFC"/>
    <w:rsid w:val="00AB3B06"/>
    <w:rsid w:val="00AB6691"/>
    <w:rsid w:val="00AC35F9"/>
    <w:rsid w:val="00AC5144"/>
    <w:rsid w:val="00AD0CAF"/>
    <w:rsid w:val="00AD3F7A"/>
    <w:rsid w:val="00AD4E29"/>
    <w:rsid w:val="00AD6FA5"/>
    <w:rsid w:val="00AD77C5"/>
    <w:rsid w:val="00AE0098"/>
    <w:rsid w:val="00AF6377"/>
    <w:rsid w:val="00B13014"/>
    <w:rsid w:val="00B14C0B"/>
    <w:rsid w:val="00B2244B"/>
    <w:rsid w:val="00B338F5"/>
    <w:rsid w:val="00B33B19"/>
    <w:rsid w:val="00B404E6"/>
    <w:rsid w:val="00B4360D"/>
    <w:rsid w:val="00B52C6C"/>
    <w:rsid w:val="00B54409"/>
    <w:rsid w:val="00B55A91"/>
    <w:rsid w:val="00B655A5"/>
    <w:rsid w:val="00B67966"/>
    <w:rsid w:val="00B74DCA"/>
    <w:rsid w:val="00B821F4"/>
    <w:rsid w:val="00B82278"/>
    <w:rsid w:val="00B92A77"/>
    <w:rsid w:val="00B94B3D"/>
    <w:rsid w:val="00B96D3F"/>
    <w:rsid w:val="00BA2F89"/>
    <w:rsid w:val="00BA5CA3"/>
    <w:rsid w:val="00BA7D76"/>
    <w:rsid w:val="00BB2800"/>
    <w:rsid w:val="00BC3903"/>
    <w:rsid w:val="00BD46AC"/>
    <w:rsid w:val="00BD6AFE"/>
    <w:rsid w:val="00BE47E0"/>
    <w:rsid w:val="00BE5604"/>
    <w:rsid w:val="00BF2B7F"/>
    <w:rsid w:val="00BF75C8"/>
    <w:rsid w:val="00C1762E"/>
    <w:rsid w:val="00C24B99"/>
    <w:rsid w:val="00C30A48"/>
    <w:rsid w:val="00C3718D"/>
    <w:rsid w:val="00C4318C"/>
    <w:rsid w:val="00C43741"/>
    <w:rsid w:val="00C4493B"/>
    <w:rsid w:val="00C457B8"/>
    <w:rsid w:val="00C52E56"/>
    <w:rsid w:val="00C55683"/>
    <w:rsid w:val="00C57B86"/>
    <w:rsid w:val="00C640FB"/>
    <w:rsid w:val="00C65651"/>
    <w:rsid w:val="00C8151A"/>
    <w:rsid w:val="00C845A0"/>
    <w:rsid w:val="00CB054E"/>
    <w:rsid w:val="00CC29AF"/>
    <w:rsid w:val="00CC52D7"/>
    <w:rsid w:val="00CD1D4C"/>
    <w:rsid w:val="00CE27F7"/>
    <w:rsid w:val="00CE790E"/>
    <w:rsid w:val="00CF0579"/>
    <w:rsid w:val="00CF1C17"/>
    <w:rsid w:val="00CF3F03"/>
    <w:rsid w:val="00CF6C89"/>
    <w:rsid w:val="00D0449D"/>
    <w:rsid w:val="00D0730F"/>
    <w:rsid w:val="00D102A1"/>
    <w:rsid w:val="00D2360B"/>
    <w:rsid w:val="00D23AB6"/>
    <w:rsid w:val="00D26011"/>
    <w:rsid w:val="00D325A9"/>
    <w:rsid w:val="00D50309"/>
    <w:rsid w:val="00D51AA9"/>
    <w:rsid w:val="00D7264A"/>
    <w:rsid w:val="00D842AC"/>
    <w:rsid w:val="00D84E43"/>
    <w:rsid w:val="00D90916"/>
    <w:rsid w:val="00D9756B"/>
    <w:rsid w:val="00DA4BE9"/>
    <w:rsid w:val="00DA6AA4"/>
    <w:rsid w:val="00DB0C2F"/>
    <w:rsid w:val="00DB3BF6"/>
    <w:rsid w:val="00DC31CC"/>
    <w:rsid w:val="00DC728A"/>
    <w:rsid w:val="00DD2346"/>
    <w:rsid w:val="00DD3B16"/>
    <w:rsid w:val="00DD51B6"/>
    <w:rsid w:val="00DD5DDA"/>
    <w:rsid w:val="00DD7F07"/>
    <w:rsid w:val="00DE02C6"/>
    <w:rsid w:val="00DE67C5"/>
    <w:rsid w:val="00DE67E4"/>
    <w:rsid w:val="00DF3A35"/>
    <w:rsid w:val="00E00594"/>
    <w:rsid w:val="00E01409"/>
    <w:rsid w:val="00E01920"/>
    <w:rsid w:val="00E155DF"/>
    <w:rsid w:val="00E16019"/>
    <w:rsid w:val="00E248A6"/>
    <w:rsid w:val="00E25786"/>
    <w:rsid w:val="00E278E3"/>
    <w:rsid w:val="00E300AE"/>
    <w:rsid w:val="00E31953"/>
    <w:rsid w:val="00E41B5E"/>
    <w:rsid w:val="00E4756E"/>
    <w:rsid w:val="00E566B9"/>
    <w:rsid w:val="00E623AB"/>
    <w:rsid w:val="00E643E5"/>
    <w:rsid w:val="00E7166E"/>
    <w:rsid w:val="00E717BF"/>
    <w:rsid w:val="00E726A1"/>
    <w:rsid w:val="00E81EDF"/>
    <w:rsid w:val="00E83981"/>
    <w:rsid w:val="00E9797A"/>
    <w:rsid w:val="00EA5D3D"/>
    <w:rsid w:val="00EA7FDB"/>
    <w:rsid w:val="00EB0FBF"/>
    <w:rsid w:val="00EB6C63"/>
    <w:rsid w:val="00EC4DE1"/>
    <w:rsid w:val="00ED4637"/>
    <w:rsid w:val="00EE0436"/>
    <w:rsid w:val="00EE1B66"/>
    <w:rsid w:val="00EE7C80"/>
    <w:rsid w:val="00EF0DD5"/>
    <w:rsid w:val="00F010A1"/>
    <w:rsid w:val="00F044AF"/>
    <w:rsid w:val="00F15C50"/>
    <w:rsid w:val="00F25C2C"/>
    <w:rsid w:val="00F360EF"/>
    <w:rsid w:val="00F41324"/>
    <w:rsid w:val="00F5049D"/>
    <w:rsid w:val="00F56183"/>
    <w:rsid w:val="00F609FD"/>
    <w:rsid w:val="00F80B68"/>
    <w:rsid w:val="00F81345"/>
    <w:rsid w:val="00F859AB"/>
    <w:rsid w:val="00F950D0"/>
    <w:rsid w:val="00FA2C26"/>
    <w:rsid w:val="00FA650F"/>
    <w:rsid w:val="00FC6A47"/>
    <w:rsid w:val="00FC7725"/>
    <w:rsid w:val="00FD58E2"/>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1A47C1"/>
    <w:rsid w:val="15FE575C"/>
    <w:rsid w:val="1677277F"/>
    <w:rsid w:val="174F6B4B"/>
    <w:rsid w:val="18270B7C"/>
    <w:rsid w:val="185505DC"/>
    <w:rsid w:val="18A6678E"/>
    <w:rsid w:val="18C666BE"/>
    <w:rsid w:val="1AA87F19"/>
    <w:rsid w:val="1B363C6A"/>
    <w:rsid w:val="1B8A5B02"/>
    <w:rsid w:val="1D9B2D18"/>
    <w:rsid w:val="1DD376B7"/>
    <w:rsid w:val="1E911FB2"/>
    <w:rsid w:val="206D37DF"/>
    <w:rsid w:val="233002B5"/>
    <w:rsid w:val="236036FD"/>
    <w:rsid w:val="236161AB"/>
    <w:rsid w:val="23BF0EF0"/>
    <w:rsid w:val="24960C0F"/>
    <w:rsid w:val="26B377BD"/>
    <w:rsid w:val="271A4CFA"/>
    <w:rsid w:val="277874DD"/>
    <w:rsid w:val="2933258B"/>
    <w:rsid w:val="298E16C7"/>
    <w:rsid w:val="2B7C5C81"/>
    <w:rsid w:val="2F132635"/>
    <w:rsid w:val="30077F05"/>
    <w:rsid w:val="36316B15"/>
    <w:rsid w:val="368076E6"/>
    <w:rsid w:val="37B64B0D"/>
    <w:rsid w:val="388D7049"/>
    <w:rsid w:val="3A5E67F0"/>
    <w:rsid w:val="3AF80478"/>
    <w:rsid w:val="3C342818"/>
    <w:rsid w:val="3DE33F68"/>
    <w:rsid w:val="3E4C4A8A"/>
    <w:rsid w:val="3FB22C0A"/>
    <w:rsid w:val="40897464"/>
    <w:rsid w:val="40E1302A"/>
    <w:rsid w:val="42BE08E7"/>
    <w:rsid w:val="433A3D7A"/>
    <w:rsid w:val="43A019F4"/>
    <w:rsid w:val="46A13001"/>
    <w:rsid w:val="4A9A51B9"/>
    <w:rsid w:val="4B623CFF"/>
    <w:rsid w:val="4D38590C"/>
    <w:rsid w:val="4DEC7E75"/>
    <w:rsid w:val="4E1A44B3"/>
    <w:rsid w:val="4E276A76"/>
    <w:rsid w:val="4F8709AB"/>
    <w:rsid w:val="50C47F64"/>
    <w:rsid w:val="5170573C"/>
    <w:rsid w:val="53300D28"/>
    <w:rsid w:val="55CC3E04"/>
    <w:rsid w:val="55E57CB6"/>
    <w:rsid w:val="564B4BD9"/>
    <w:rsid w:val="57AD6E41"/>
    <w:rsid w:val="580B5AEB"/>
    <w:rsid w:val="5E337017"/>
    <w:rsid w:val="5ECB3D01"/>
    <w:rsid w:val="5FBD11D0"/>
    <w:rsid w:val="61237A57"/>
    <w:rsid w:val="61B402D8"/>
    <w:rsid w:val="62342F4C"/>
    <w:rsid w:val="64F6329D"/>
    <w:rsid w:val="652A577F"/>
    <w:rsid w:val="65E55D8E"/>
    <w:rsid w:val="6898111C"/>
    <w:rsid w:val="6983088A"/>
    <w:rsid w:val="6A485270"/>
    <w:rsid w:val="6B37137A"/>
    <w:rsid w:val="6DFD23E8"/>
    <w:rsid w:val="6F307698"/>
    <w:rsid w:val="6F865E8A"/>
    <w:rsid w:val="702B184D"/>
    <w:rsid w:val="704B76D3"/>
    <w:rsid w:val="709D748C"/>
    <w:rsid w:val="73193673"/>
    <w:rsid w:val="78467F33"/>
    <w:rsid w:val="7A056855"/>
    <w:rsid w:val="7B582B92"/>
    <w:rsid w:val="7D36154A"/>
    <w:rsid w:val="7D8E47C1"/>
    <w:rsid w:val="7DF54B40"/>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D7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52D7E"/>
    <w:rPr>
      <w:sz w:val="18"/>
      <w:szCs w:val="18"/>
      <w:lang/>
    </w:rPr>
  </w:style>
  <w:style w:type="paragraph" w:styleId="a4">
    <w:name w:val="footer"/>
    <w:basedOn w:val="a"/>
    <w:link w:val="Char0"/>
    <w:uiPriority w:val="99"/>
    <w:unhideWhenUsed/>
    <w:qFormat/>
    <w:rsid w:val="00452D7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452D7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452D7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452D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452D7E"/>
  </w:style>
  <w:style w:type="paragraph" w:customStyle="1" w:styleId="neirong">
    <w:name w:val="neirong"/>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452D7E"/>
    <w:pPr>
      <w:widowControl/>
      <w:spacing w:before="100" w:beforeAutospacing="1" w:after="100" w:afterAutospacing="1"/>
      <w:jc w:val="left"/>
    </w:pPr>
    <w:rPr>
      <w:rFonts w:ascii="宋体" w:hAnsi="宋体" w:cs="宋体"/>
      <w:vanish/>
      <w:kern w:val="0"/>
      <w:sz w:val="24"/>
      <w:szCs w:val="24"/>
    </w:rPr>
  </w:style>
  <w:style w:type="paragraph" w:customStyle="1" w:styleId="biaogeleft">
    <w:name w:val="biaoge_left"/>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52D7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52D7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biaogeright1">
    <w:name w:val="biaoge_right1"/>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zhongyaotishi">
    <w:name w:val="zhongyaotishi"/>
    <w:basedOn w:val="a"/>
    <w:qFormat/>
    <w:rsid w:val="00452D7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dazhangjie">
    <w:name w:val="dazhangjie"/>
    <w:basedOn w:val="a"/>
    <w:qFormat/>
    <w:rsid w:val="00452D7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52D7E"/>
    <w:pPr>
      <w:jc w:val="both"/>
    </w:pPr>
    <w:rPr>
      <w:kern w:val="2"/>
      <w:sz w:val="21"/>
      <w:szCs w:val="21"/>
    </w:rPr>
  </w:style>
  <w:style w:type="paragraph" w:customStyle="1" w:styleId="msonormalfy">
    <w:name w:val="msonormalfy"/>
    <w:qFormat/>
    <w:rsid w:val="00452D7E"/>
    <w:pPr>
      <w:widowControl w:val="0"/>
      <w:jc w:val="center"/>
    </w:pPr>
    <w:rPr>
      <w:kern w:val="2"/>
      <w:sz w:val="33"/>
      <w:szCs w:val="22"/>
    </w:rPr>
  </w:style>
  <w:style w:type="paragraph" w:customStyle="1" w:styleId="msonormalnone">
    <w:name w:val="msonormal_none"/>
    <w:qFormat/>
    <w:rsid w:val="00452D7E"/>
    <w:pPr>
      <w:widowControl w:val="0"/>
    </w:pPr>
    <w:rPr>
      <w:kern w:val="2"/>
      <w:sz w:val="21"/>
      <w:szCs w:val="22"/>
    </w:rPr>
  </w:style>
  <w:style w:type="paragraph" w:customStyle="1" w:styleId="show">
    <w:name w:val="show"/>
    <w:basedOn w:val="a"/>
    <w:qFormat/>
    <w:rsid w:val="00452D7E"/>
    <w:pPr>
      <w:widowControl/>
      <w:spacing w:before="100" w:beforeAutospacing="1" w:after="100" w:afterAutospacing="1"/>
      <w:jc w:val="left"/>
    </w:pPr>
    <w:rPr>
      <w:rFonts w:ascii="宋体" w:hAnsi="宋体" w:cs="宋体"/>
      <w:kern w:val="0"/>
      <w:sz w:val="24"/>
      <w:szCs w:val="24"/>
    </w:rPr>
  </w:style>
  <w:style w:type="paragraph" w:customStyle="1" w:styleId="zhangjiep">
    <w:name w:val="zhangjie_p"/>
    <w:basedOn w:val="a"/>
    <w:qFormat/>
    <w:rsid w:val="00452D7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
    <w:name w:val="biaoge_right"/>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character" w:customStyle="1" w:styleId="Char1">
    <w:name w:val="页眉 Char"/>
    <w:link w:val="a5"/>
    <w:uiPriority w:val="99"/>
    <w:semiHidden/>
    <w:qFormat/>
    <w:locked/>
    <w:rsid w:val="00452D7E"/>
    <w:rPr>
      <w:rFonts w:ascii="Times New Roman" w:hAnsi="Times New Roman" w:cs="Times New Roman" w:hint="default"/>
      <w:sz w:val="18"/>
      <w:szCs w:val="18"/>
    </w:rPr>
  </w:style>
  <w:style w:type="character" w:customStyle="1" w:styleId="Char0">
    <w:name w:val="页脚 Char"/>
    <w:link w:val="a4"/>
    <w:uiPriority w:val="99"/>
    <w:semiHidden/>
    <w:qFormat/>
    <w:locked/>
    <w:rsid w:val="00452D7E"/>
    <w:rPr>
      <w:rFonts w:ascii="Times New Roman" w:hAnsi="Times New Roman" w:cs="Times New Roman" w:hint="default"/>
      <w:sz w:val="18"/>
      <w:szCs w:val="18"/>
    </w:rPr>
  </w:style>
  <w:style w:type="character" w:customStyle="1" w:styleId="Char">
    <w:name w:val="批注框文本 Char"/>
    <w:link w:val="a3"/>
    <w:uiPriority w:val="99"/>
    <w:semiHidden/>
    <w:qFormat/>
    <w:rsid w:val="00452D7E"/>
    <w:rPr>
      <w:kern w:val="2"/>
      <w:sz w:val="18"/>
      <w:szCs w:val="18"/>
    </w:rPr>
  </w:style>
  <w:style w:type="table" w:customStyle="1" w:styleId="dqbgxx">
    <w:name w:val="dqbgxx"/>
    <w:basedOn w:val="a1"/>
    <w:rsid w:val="00452D7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452D7E"/>
    <w:pPr>
      <w:widowControl/>
      <w:spacing w:line="288" w:lineRule="auto"/>
      <w:jc w:val="center"/>
    </w:pPr>
    <w:rPr>
      <w:rFonts w:eastAsia="黑体" w:cs="宋体"/>
      <w:kern w:val="0"/>
      <w:sz w:val="22"/>
      <w:szCs w:val="24"/>
    </w:rPr>
  </w:style>
  <w:style w:type="character" w:customStyle="1" w:styleId="dqbgbnwzChar">
    <w:name w:val="dqbgbnwz Char"/>
    <w:basedOn w:val="a0"/>
    <w:link w:val="dqbgbnwz"/>
    <w:rsid w:val="00452D7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divs>
    <w:div w:id="1092624016">
      <w:bodyDiv w:val="1"/>
      <w:marLeft w:val="0"/>
      <w:marRight w:val="0"/>
      <w:marTop w:val="0"/>
      <w:marBottom w:val="0"/>
      <w:divBdr>
        <w:top w:val="none" w:sz="0" w:space="0" w:color="auto"/>
        <w:left w:val="none" w:sz="0" w:space="0" w:color="auto"/>
        <w:bottom w:val="none" w:sz="0" w:space="0" w:color="auto"/>
        <w:right w:val="none" w:sz="0" w:space="0" w:color="auto"/>
      </w:divBdr>
    </w:div>
    <w:div w:id="1112166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409</Words>
  <Characters>2332</Characters>
  <Application>Microsoft Office Word</Application>
  <DocSecurity>0</DocSecurity>
  <Lines>19</Lines>
  <Paragraphs>5</Paragraphs>
  <ScaleCrop>false</ScaleCrop>
  <Company/>
  <LinksUpToDate>false</LinksUpToDate>
  <CharactersWithSpaces>2736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73</cp:revision>
  <dcterms:created xsi:type="dcterms:W3CDTF">2021-06-30T07:23:00Z</dcterms:created>
  <dcterms:modified xsi:type="dcterms:W3CDTF">2022-10-20T09:18:00Z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