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南银理财珠联璧合理财管理计划4号开放式公募人民币理财产品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5,206,892,102.21份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万家基金管理有限公司,天弘基金管理有限公司,太平资产管理有限公司,招商基金管理有限公司,鑫元基金管理有限公司,易方达基金管理有限公司,景顺长城基金管理有限公司,太平洋资产管理有限责任公司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报告期（2024年01月01日 - 2024年03月31日）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4,782,434,925.57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1,139,913,853.95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1.1388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一季度经济整体延续弱修复状态，地产销售仍然一般，地产修复较为缓慢，消费增速受基数影响回落，出口增速略超预期。3月政府工作报告中，对于财政支出的规模较为克制，在此背景下，经济短期内继续呈现弱修复状态。一季度央行超预期降准降息，非对称调降5年期LPR 25bp，央行在月中月末和节前加大投放，3月开始缩量投放，货币政策基调稳中偏宽，在资金空转和汇率因素约束下，大幅宽松概率也较小，资金面持稳。整体来看，一季度呈现弱复苏的状态，需求端有回升但幅度并不明显，货币政策短期内预计仍以宽松为主，实体经济融资需求仍然一般，整体环境对债市仍有利。一季度利率基本呈现下行状态，仅3月初小幅调整，10年国债从年初的2.56%下行至季末的2.29%，信用债下行20-50bp不等，其中中低评级、长久期的品种下行幅度更大，中债新综合财富指数上涨0.5%左右。</w:t>
        <w:br w:type="textWrapping" w:clear="all"/>
      </w:r>
      <w:r>
        <w:rPr>
          <w:rFonts w:hint="eastAsia" w:ascii="方正仿宋简体" w:eastAsia="方正仿宋简体"/>
          <w:sz w:val="24"/>
          <w:szCs w:val="24"/>
        </w:rPr>
        <w:t>  往后看，地产销售仍然较为一般，居民预期普遍偏弱，地产对经济的拖累仍存，融资需求较弱，M1增速再度回落，显示经济活力偏弱，基本面弱修复对债市利多。在基本面较弱的背景下，货币政策预计仍以稳增长为主，延续宽松基调，债券收益率上行幅度有限。从债券供需来看，4月债券到期量仍较大，对应的配置压力也将比较大，叠加市场预期较为一致，若收益率上行配置盘将介入，制约利率上行幅度。结合来看，倾向于认为二季度债市调整风险可控，在这种背景下，票息策略可能仍相对占优，保持适度杠杆以增厚票息收益，控制久期。</w:t>
        <w:br w:type="textWrapping" w:clear="all"/>
      </w:r>
      <w:r>
        <w:rPr>
          <w:rFonts w:hint="eastAsia" w:ascii="方正仿宋简体" w:eastAsia="方正仿宋简体"/>
          <w:sz w:val="24"/>
          <w:szCs w:val="24"/>
        </w:rPr>
        <w:t>  本产品作为一款周期型、开放式的理财工具，旨在确保资金流动安全的同时，为客户带来稳健的收益。其核心策略是持有信用状况优质、收益表现较高的江浙等发达地区的信用债作为核心配置，从而稳定获取票息收益。此外，产品还会根据市场状况，灵活采用杠杆、久期等工具，旨在进一步提高收益水平。在四季度，鉴于债市整体呈现震荡态势且风险相对可控的判断，我们紧密跟踪市场走势，适时调整产品杠杆水平以应对市场波动。展望未来，本产品将继续关注票息资产的价值变化，保持组合久期的中性策略，并依据市场状况灵活调整杠杆水平，以抵御市场的不确定性。同时，我们将加强市场与品种的研究与分析，在严格控制风险的前提下，努力为客户创造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平稳度过市场各关键时点，流动性状况较好。下阶段，产品将继续维持合理的流动性资产配置，并密切关注负债端现金流的动态变化，进行深入的分析与研判，从而有效控制产品的流动性风险，确保产品的稳健运行。</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截至报告期末，本产品Z11005份额净值为1.1372元，Z11006份额净值为1.1389元。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112304022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23中国银行CD022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295,028,100.00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112322089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23邮储银行CD089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197,634,800.00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152,048,086.38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032100633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21襄阳高新PPN002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150,665,250.00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1928013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19民生银行永续债</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150,610,950.00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22栖霞山PPN001(项目收益)</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100,987,400.00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032280241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22扬州经开PPN001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100,903,300.00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210207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21国开07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032100832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21高淳建设PPN002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75,507,375.00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0120060000000472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产品支付关联方托管费267,183.67元，支付关联方代销费2,601,096.91元。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