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063B71">
      <w:pPr>
        <w:spacing w:before="240" w:afterLines="30" w:line="360" w:lineRule="auto"/>
        <w:jc w:val="center"/>
      </w:pPr>
    </w:p>
    <w:p w:rsidR="00FF26C8" w:rsidRDefault="00FF26C8" w:rsidP="00063B71">
      <w:pPr>
        <w:spacing w:before="240" w:afterLines="30" w:line="360" w:lineRule="auto"/>
        <w:jc w:val="center"/>
      </w:pPr>
    </w:p>
    <w:p w:rsidR="00FF26C8" w:rsidRDefault="00FF26C8" w:rsidP="00063B71">
      <w:pPr>
        <w:spacing w:before="240" w:afterLines="30" w:line="360" w:lineRule="auto"/>
        <w:jc w:val="center"/>
      </w:pPr>
    </w:p>
    <w:p w:rsidR="00FF26C8" w:rsidRPr="00977E89" w:rsidRDefault="00977E89" w:rsidP="00063B71">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南银理财珠联璧合安稳1903一年定开公募人民币理财产品</w:t>
      </w:r>
    </w:p>
    <w:p w:rsidR="00FF26C8" w:rsidRPr="00977E89" w:rsidRDefault="00977E89" w:rsidP="00063B71">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977E89" w:rsidRPr="006E0CC3" w:rsidRDefault="00977E89" w:rsidP="00063B71">
      <w:pPr>
        <w:spacing w:before="240" w:afterLines="30" w:line="360" w:lineRule="auto"/>
        <w:jc w:val="center"/>
        <w:rPr>
          <w:rFonts w:ascii="方正仿宋简体" w:eastAsia="方正仿宋简体"/>
          <w:b/>
          <w:sz w:val="24"/>
          <w:szCs w:val="24"/>
        </w:rPr>
      </w:pPr>
      <w:r w:rsidRPr="006E0CC3">
        <w:rPr>
          <w:rFonts w:ascii="方正仿宋简体" w:eastAsia="方正仿宋简体" w:hint="eastAsia"/>
          <w:b/>
          <w:sz w:val="24"/>
          <w:szCs w:val="24"/>
        </w:rPr>
        <w:t>产品管理人:南银理财有限责任公司</w:t>
      </w:r>
    </w:p>
    <w:p w:rsidR="00FF26C8" w:rsidRPr="006E0CC3" w:rsidRDefault="00977E89" w:rsidP="00063B71">
      <w:pPr>
        <w:spacing w:before="240" w:afterLines="30" w:line="360" w:lineRule="auto"/>
        <w:jc w:val="center"/>
        <w:rPr>
          <w:rFonts w:ascii="方正仿宋简体" w:eastAsia="方正仿宋简体"/>
          <w:b/>
          <w:sz w:val="24"/>
          <w:szCs w:val="24"/>
        </w:rPr>
      </w:pPr>
      <w:r w:rsidRPr="006E0CC3">
        <w:rPr>
          <w:rFonts w:ascii="方正仿宋简体" w:eastAsia="方正仿宋简体" w:hint="eastAsia"/>
          <w:b/>
          <w:sz w:val="24"/>
          <w:szCs w:val="24"/>
        </w:rPr>
        <w:t>产品托管人:南京银行股份有限公司</w:t>
      </w:r>
    </w:p>
    <w:p w:rsidR="004C1D39" w:rsidRDefault="004C1D39">
      <w:pPr>
        <w:widowControl/>
        <w:jc w:val="left"/>
        <w:rPr>
          <w:rFonts w:ascii="方正仿宋简体" w:eastAsia="方正仿宋简体"/>
          <w:sz w:val="24"/>
          <w:szCs w:val="24"/>
        </w:rPr>
      </w:pPr>
      <w:r>
        <w:rPr>
          <w:rFonts w:ascii="方正仿宋简体" w:eastAsia="方正仿宋简体"/>
          <w:sz w:val="24"/>
          <w:szCs w:val="24"/>
        </w:rPr>
        <w:br w:type="page"/>
      </w:r>
    </w:p>
    <w:p w:rsidR="00FF26C8" w:rsidRPr="004C1D39" w:rsidRDefault="001B497D" w:rsidP="00063B71">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南银理财珠联璧合安稳1903一年定开公募人民币理财产品</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Z7003221000028（投资者可依据该编码在中国理财网www.chinawealth.com.cn查询理财产品相关信息）</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开放式净值型</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2019年03月06日</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F907A7">
              <w:rPr>
                <w:rFonts w:ascii="方正仿宋简体" w:eastAsia="方正仿宋简体" w:hint="eastAsia"/>
                <w:sz w:val="24"/>
                <w:szCs w:val="24"/>
              </w:rPr>
              <w:t/>
            </w:r>
            <w:r w:rsidRPr="003B7361">
              <w:rPr>
                <w:rFonts w:ascii="方正仿宋简体" w:eastAsia="方正仿宋简体" w:hint="eastAsia"/>
                <w:sz w:val="24"/>
                <w:szCs w:val="24"/>
              </w:rPr>
              <w:t>1,323,110,627.37份</w:t>
            </w:r>
          </w:p>
        </w:tc>
      </w:tr>
      <w:tr w:rsidR="00F84F36" w:rsidRPr="003B7361" w:rsidTr="001C144C">
        <w:tc>
          <w:tcPr>
            <w:tcW w:w="2811" w:type="dxa"/>
            <w:vAlign w:val="center"/>
          </w:tcPr>
          <w:p w:rsidR="00F84F36" w:rsidRPr="00F47E18" w:rsidRDefault="00F84F36" w:rsidP="00063B71">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F84F36" w:rsidRPr="00F47E18" w:rsidRDefault="00F84F36" w:rsidP="00063B71">
            <w:pPr>
              <w:spacing w:beforeLines="20" w:afterLines="20"/>
              <w:jc w:val="left"/>
              <w:rPr>
                <w:rFonts w:ascii="方正仿宋简体" w:eastAsia="方正仿宋简体"/>
                <w:sz w:val="24"/>
                <w:szCs w:val="24"/>
              </w:rPr>
            </w:pPr>
            <w:r w:rsidRPr="00F47E18">
              <w:rPr>
                <w:rFonts w:ascii="方正仿宋简体" w:eastAsia="方正仿宋简体"/>
                <w:sz w:val="24"/>
                <w:szCs w:val="24"/>
              </w:rPr>
              <w:t>107.08</w:t>
            </w:r>
            <w:r w:rsidR="00902630">
              <w:rPr>
                <w:rFonts w:ascii="方正仿宋简体" w:eastAsia="方正仿宋简体"/>
                <w:sz w:val="24"/>
                <w:szCs w:val="24"/>
              </w:rPr>
              <w:t>%</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063B71">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主要财务指标和产品</w:t>
      </w:r>
      <w:r w:rsidRPr="003B7361">
        <w:rPr>
          <w:rFonts w:ascii="方正仿宋简体" w:eastAsia="方正仿宋简体" w:hint="eastAsia"/>
          <w:b/>
          <w:sz w:val="24"/>
          <w:szCs w:val="24"/>
        </w:rPr>
        <w:t>业绩比较基准</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Default="001B497D" w:rsidP="00063B71">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52"/>
        <w:gridCol w:w="2298"/>
        <w:gridCol w:w="1759"/>
        <w:gridCol w:w="1957"/>
        <w:gridCol w:w="1536"/>
      </w:tblGrid>
      <w:tr w:rsidR="00741E97" w:rsidRPr="000F06ED" w:rsidTr="001C144C">
        <w:trPr>
          <w:jc w:val="center"/>
        </w:trPr>
        <w:tc>
          <w:tcPr>
            <w:tcW w:w="1352" w:type="dxa"/>
            <w:vMerge w:val="restart"/>
            <w:vAlign w:val="center"/>
          </w:tcPr>
          <w:p w:rsidR="00741E97" w:rsidRPr="000F06ED" w:rsidRDefault="00741E97" w:rsidP="00063B71">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550" w:type="dxa"/>
            <w:gridSpan w:val="4"/>
            <w:vAlign w:val="center"/>
          </w:tcPr>
          <w:p w:rsidR="00741E97" w:rsidRPr="000F06ED" w:rsidRDefault="00741E97" w:rsidP="00063B71">
            <w:pPr>
              <w:spacing w:beforeLines="20" w:afterLines="20"/>
              <w:jc w:val="center"/>
              <w:rPr>
                <w:rFonts w:ascii="方正仿宋简体" w:eastAsia="方正仿宋简体"/>
                <w:sz w:val="24"/>
                <w:szCs w:val="24"/>
              </w:rPr>
            </w:pPr>
            <w:r w:rsidRPr="000F06ED">
              <w:rPr>
                <w:rFonts w:ascii="方正仿宋简体" w:eastAsia="方正仿宋简体" w:hint="eastAsia"/>
                <w:sz w:val="24"/>
                <w:szCs w:val="24"/>
              </w:rPr>
              <w:t>报告期（2022年01月01日 - 2022年12月31日）</w:t>
            </w:r>
          </w:p>
        </w:tc>
      </w:tr>
      <w:tr w:rsidR="00741E97" w:rsidRPr="000F06ED" w:rsidTr="001C144C">
        <w:trPr>
          <w:trHeight w:val="2558"/>
          <w:jc w:val="center"/>
        </w:trPr>
        <w:tc>
          <w:tcPr>
            <w:tcW w:w="1352" w:type="dxa"/>
            <w:vMerge/>
            <w:vAlign w:val="center"/>
          </w:tcPr>
          <w:p w:rsidR="00741E97" w:rsidRPr="000F06ED" w:rsidRDefault="00741E97" w:rsidP="00063B71">
            <w:pPr>
              <w:spacing w:beforeLines="20" w:afterLines="20"/>
              <w:jc w:val="center"/>
              <w:rPr>
                <w:rFonts w:ascii="方正仿宋简体" w:eastAsia="方正仿宋简体"/>
                <w:sz w:val="24"/>
                <w:szCs w:val="24"/>
              </w:rPr>
            </w:pPr>
          </w:p>
        </w:tc>
        <w:tc>
          <w:tcPr>
            <w:tcW w:w="2298"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1.期末产品最后一个市场交易日资产净值</w:t>
            </w:r>
          </w:p>
        </w:tc>
        <w:tc>
          <w:tcPr>
            <w:tcW w:w="1759"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2.期末产品最后一个市场交易日份额净值</w:t>
            </w:r>
          </w:p>
        </w:tc>
        <w:tc>
          <w:tcPr>
            <w:tcW w:w="1957"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3.期末产品最后一个市场交易日份额累计净值</w:t>
            </w:r>
          </w:p>
        </w:tc>
        <w:tc>
          <w:tcPr>
            <w:tcW w:w="1536"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4.其它费用</w:t>
            </w:r>
          </w:p>
        </w:tc>
      </w:tr>
      <w:tr>
        <w:trPr>
          <w:jc w:val="center"/>
        </w:trPr>
        <w:tc>
          <w:tcPr>
            <w:tcW w:w="13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29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1,361,678,974.14</w:t>
            </w:r>
          </w:p>
        </w:tc>
        <w:tc>
          <w:tcPr>
            <w:tcW w:w="1759"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1.0291</w:t>
            </w:r>
          </w:p>
        </w:tc>
        <w:tc>
          <w:tcPr>
            <w:tcW w:w="19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1.1696</w:t>
            </w:r>
          </w:p>
        </w:tc>
        <w:tc>
          <w:tcPr>
            <w:tcW w:w="153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63,575.00</w:t>
            </w:r>
          </w:p>
        </w:tc>
      </w:tr>
    </w:tbl>
    <w:p w:rsidR="00741E97" w:rsidRPr="003B7361" w:rsidRDefault="00741E97" w:rsidP="00581E78">
      <w:pPr>
        <w:spacing w:before="240"/>
        <w:jc w:val="right"/>
        <w:rPr>
          <w:rFonts w:ascii="方正仿宋简体" w:eastAsia="方正仿宋简体" w:cs="宋体"/>
          <w:kern w:val="0"/>
          <w:sz w:val="24"/>
          <w:szCs w:val="24"/>
        </w:rPr>
      </w:pPr>
    </w:p>
    <w:p w:rsidR="00FF26C8" w:rsidRPr="003B7361" w:rsidRDefault="001B497D"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注：产品净值可能存在未扣除管理人及投资合作机构业绩报酬、赎回费等费用（如有）的情况，实际收益以兑付为准。</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2.2 产品业绩比较基准</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815"/>
        <w:gridCol w:w="1984"/>
        <w:gridCol w:w="2103"/>
      </w:tblGrid>
      <w:tr w:rsidR="00CB417C" w:rsidRPr="003B7361" w:rsidTr="00AA6B99">
        <w:trPr>
          <w:jc w:val="center"/>
        </w:trPr>
        <w:tc>
          <w:tcPr>
            <w:tcW w:w="4815" w:type="dxa"/>
            <w:vAlign w:val="center"/>
          </w:tcPr>
          <w:p w:rsidR="00CB417C" w:rsidRPr="003B7361" w:rsidRDefault="00CB417C"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阶段</w:t>
            </w:r>
          </w:p>
        </w:tc>
        <w:tc>
          <w:tcPr>
            <w:tcW w:w="1984" w:type="dxa"/>
            <w:vAlign w:val="center"/>
          </w:tcPr>
          <w:p w:rsidR="00CB417C" w:rsidRPr="003B7361" w:rsidRDefault="00CB417C" w:rsidP="00063B71">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103" w:type="dxa"/>
            <w:vAlign w:val="center"/>
          </w:tcPr>
          <w:p w:rsidR="00CB417C" w:rsidRPr="003B7361" w:rsidRDefault="00CB417C"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业绩比较基准</w:t>
            </w:r>
          </w:p>
        </w:tc>
      </w:tr>
      <w:tr>
        <w:trPr>
          <w:jc w:val="center"/>
        </w:trPr>
        <w:tc>
          <w:tcPr>
            <w:tcW w:w="481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2022年03月18日 - 2022年12月31日</w:t>
            </w:r>
          </w:p>
        </w:tc>
        <w:tc>
          <w:tcPr>
            <w:tcW w:w="198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10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r>
    </w:tbl>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063B71">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前十个月，虽然出现春节后经济复苏、海外加息，以及股价下跌导致固收+产品的赎回，带来债市的调整，但二季度经历疫情冲击、房地产风波、央行超预期降息的持续催化下，债券收益率整体趋于下行，叠加资产荒推动，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至年末，10年国债收在2.85%附近，。</w:t>
        <w:br w:type="textWrapping" w:clear="all"/>
      </w:r>
      <w:r>
        <w:rPr>
          <w:rFonts w:ascii="方正仿宋简体" w:eastAsia="方正仿宋简体" w:hint="eastAsia"/>
          <w:sz w:val="24"/>
          <w:szCs w:val="24"/>
        </w:rPr>
        <w:t xml:space="preserve">    展望2023年，经济复苏的方向较为确定，但复苏的斜率仍存在不确定性。经济修复初期，流动性收紧概率较小，货币政策大概率会呵护资金面维持宽松，因此对债市后续表现不悲观，市场可能会在“弱现实、强预期”和“强现实、弱预期”间交替演绎，出现明确利多、利空方向的概率不大，整体判断维持震荡，票息策略可能仍相对占优，操作上维持适度杠杆，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2022年本产品依据市场行情积极调仓，适时使用杠杆、久期工具，力求为客户获取业绩增厚。往后看，债市多空博弈加剧，整体缺乏方向性。后续操作上产品将以中性策略应对震荡行情，保持进退空间，静待政策及市场逐步明朗。</w:t>
      </w:r>
      <w:r w:rsidRPr="003B7361">
        <w:rPr>
          <w:rFonts w:ascii="方正仿宋简体" w:eastAsia="方正仿宋简体" w:hint="eastAsia"/>
          <w:sz w:val="24"/>
          <w:szCs w:val="24"/>
        </w:rPr>
        <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本产品持仓中维持合理比例高流动性资产，杠杆处于合理水平，流动性状况较好。</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063B71">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1C144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份额净值为1.0291</w:t>
      </w:r>
      <w:r w:rsidRPr="003B7361">
        <w:rPr>
          <w:rFonts w:ascii="方正仿宋简体" w:eastAsia="方正仿宋简体" w:hint="eastAsia"/>
          <w:sz w:val="24"/>
          <w:szCs w:val="24"/>
        </w:rPr>
        <w:t>元。</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4C1D39" w:rsidRDefault="001B497D" w:rsidP="00063B71">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885344" w:rsidRDefault="00885344" w:rsidP="00063B71">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885344" w:rsidRDefault="00885344" w:rsidP="00063B71">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4C1D39" w:rsidRDefault="004C1D39" w:rsidP="00063B71">
      <w:pPr>
        <w:spacing w:before="240" w:afterLines="30" w:line="360" w:lineRule="auto"/>
        <w:rPr>
          <w:rFonts w:ascii="方正仿宋简体" w:eastAsia="方正仿宋简体"/>
          <w:sz w:val="24"/>
          <w:szCs w:val="24"/>
        </w:rPr>
      </w:pPr>
    </w:p>
    <w:p w:rsidR="00FF26C8" w:rsidRPr="004C1D39"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843"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1</w:t>
            </w:r>
          </w:p>
        </w:tc>
        <w:tc>
          <w:tcPr>
            <w:tcW w:w="1843"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固定</w:t>
            </w:r>
            <w:r w:rsidR="002C555A" w:rsidRPr="00CB417C">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2</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3</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526F3D">
        <w:trPr>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4</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lastRenderedPageBreak/>
              <w:t>5</w:t>
            </w:r>
          </w:p>
        </w:tc>
        <w:tc>
          <w:tcPr>
            <w:tcW w:w="1843"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063B71">
      <w:pPr>
        <w:spacing w:before="240" w:afterLines="30" w:line="360" w:lineRule="auto"/>
        <w:rPr>
          <w:rFonts w:ascii="方正仿宋简体" w:eastAsia="方正仿宋简体" w:cs="宋体"/>
          <w:kern w:val="0"/>
          <w:sz w:val="24"/>
          <w:szCs w:val="24"/>
        </w:rPr>
      </w:pP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BF1B9E">
        <w:rPr>
          <w:rFonts w:ascii="方正仿宋简体" w:eastAsia="方正仿宋简体" w:hint="eastAsia"/>
          <w:b/>
          <w:sz w:val="24"/>
          <w:szCs w:val="24"/>
        </w:rPr>
        <w:t>占产品</w:t>
      </w:r>
      <w:r w:rsidR="00F17470">
        <w:rPr>
          <w:rFonts w:ascii="方正仿宋简体" w:eastAsia="方正仿宋简体" w:hint="eastAsia"/>
          <w:b/>
          <w:sz w:val="24"/>
          <w:szCs w:val="24"/>
        </w:rPr>
        <w:t>资产</w:t>
      </w:r>
      <w:r w:rsidRPr="003B7361">
        <w:rPr>
          <w:rFonts w:ascii="方正仿宋简体" w:eastAsia="方正仿宋简体" w:hint="eastAsia"/>
          <w:b/>
          <w:sz w:val="24"/>
          <w:szCs w:val="24"/>
        </w:rPr>
        <w:t>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B43E89" w:rsidRPr="003B7361" w:rsidTr="006D4496">
        <w:trPr>
          <w:jc w:val="center"/>
        </w:trPr>
        <w:tc>
          <w:tcPr>
            <w:tcW w:w="70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633"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代码</w:t>
            </w:r>
          </w:p>
        </w:tc>
        <w:tc>
          <w:tcPr>
            <w:tcW w:w="2721"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名称</w:t>
            </w:r>
          </w:p>
        </w:tc>
        <w:tc>
          <w:tcPr>
            <w:tcW w:w="205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公允价值</w:t>
            </w:r>
            <w:r w:rsidR="001C144C">
              <w:rPr>
                <w:rFonts w:ascii="方正仿宋简体" w:eastAsia="方正仿宋简体" w:hAnsiTheme="minorEastAsia" w:hint="eastAsia"/>
                <w:sz w:val="24"/>
                <w:szCs w:val="24"/>
              </w:rPr>
              <w:t>（</w:t>
            </w:r>
            <w:r w:rsidRPr="00CB417C">
              <w:rPr>
                <w:rFonts w:ascii="方正仿宋简体" w:eastAsia="方正仿宋简体" w:hAnsiTheme="minorEastAsia" w:hint="eastAsia"/>
                <w:sz w:val="24"/>
                <w:szCs w:val="24"/>
              </w:rPr>
              <w:t>元</w:t>
            </w:r>
            <w:r w:rsidR="001C144C">
              <w:rPr>
                <w:rFonts w:ascii="方正仿宋简体" w:eastAsia="方正仿宋简体" w:hAnsiTheme="minorEastAsia" w:hint="eastAsia"/>
                <w:sz w:val="24"/>
                <w:szCs w:val="24"/>
              </w:rPr>
              <w:t>）</w:t>
            </w:r>
          </w:p>
        </w:tc>
        <w:tc>
          <w:tcPr>
            <w:tcW w:w="1785"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22088308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22绍兴袍江02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299,942,472.87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22.03</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22088356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22扬州盛裕01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219,985,824.72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16.16</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100,090,108.13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7.35</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032000668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20建德国资PPN001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50,174,550.00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3.68</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102000313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20钟楼经开MTN001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50,084,300.00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3.68</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032000122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20江宁交通PPN002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50,035,950.00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3.67</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032000162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20柯桥经开PPN001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49,999,950.00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3.67</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102000217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20淮安高新MTN001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49,935,350.00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3.67</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22088344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22扬州安康02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39,994,970.61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2.94</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032000483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20浦口交通PPN001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39,919,520.00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2.93</w:t>
            </w:r>
          </w:p>
        </w:tc>
      </w:tr>
    </w:tbl>
    <w:p w:rsidR="00977E89" w:rsidRPr="003B7361" w:rsidRDefault="00977E89" w:rsidP="00063B71">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063B71">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24"/>
        <w:gridCol w:w="1683"/>
        <w:gridCol w:w="1272"/>
        <w:gridCol w:w="849"/>
      </w:tblGrid>
      <w:tr w:rsidR="00B43E89" w:rsidRPr="003B7361" w:rsidTr="004C544D">
        <w:trPr>
          <w:jc w:val="center"/>
        </w:trPr>
        <w:tc>
          <w:tcPr>
            <w:tcW w:w="707"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272"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融资客户</w:t>
            </w:r>
          </w:p>
        </w:tc>
        <w:tc>
          <w:tcPr>
            <w:tcW w:w="1695"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项目名称</w:t>
            </w:r>
          </w:p>
        </w:tc>
        <w:tc>
          <w:tcPr>
            <w:tcW w:w="142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剩余融资期限</w:t>
            </w:r>
            <w:r w:rsidR="004C544D">
              <w:rPr>
                <w:rFonts w:ascii="方正仿宋简体" w:eastAsia="方正仿宋简体" w:hAnsiTheme="minorEastAsia" w:hint="eastAsia"/>
                <w:sz w:val="24"/>
                <w:szCs w:val="24"/>
              </w:rPr>
              <w:t>（天）</w:t>
            </w:r>
          </w:p>
        </w:tc>
        <w:tc>
          <w:tcPr>
            <w:tcW w:w="1683"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到期收益分配</w:t>
            </w:r>
          </w:p>
        </w:tc>
        <w:tc>
          <w:tcPr>
            <w:tcW w:w="1272"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交易结构</w:t>
            </w:r>
          </w:p>
        </w:tc>
        <w:tc>
          <w:tcPr>
            <w:tcW w:w="84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扬州盛裕投资发展有限公司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22扬州盛裕01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杭州之江城市建设投资集团有限公司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22之江城投01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绍兴袍江经济技术开发区投资发展集团有限公司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22绍兴袍江02</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扬州安康产业投资有限公司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22扬州安康02</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江苏洪泽湖建设投资集团有限公司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22江苏洪泽湖01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79"/>
        <w:gridCol w:w="2387"/>
        <w:gridCol w:w="1984"/>
        <w:gridCol w:w="1984"/>
      </w:tblGrid>
      <w:tr w:rsidR="00B43E89" w:rsidRPr="003B7361" w:rsidTr="00936D32">
        <w:trPr>
          <w:jc w:val="center"/>
        </w:trPr>
        <w:tc>
          <w:tcPr>
            <w:tcW w:w="968"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57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账户类型</w:t>
            </w:r>
          </w:p>
        </w:tc>
        <w:tc>
          <w:tcPr>
            <w:tcW w:w="2387"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账号</w:t>
            </w:r>
          </w:p>
        </w:tc>
        <w:tc>
          <w:tcPr>
            <w:tcW w:w="198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账户名称</w:t>
            </w:r>
          </w:p>
        </w:tc>
        <w:tc>
          <w:tcPr>
            <w:tcW w:w="198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7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38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0120070000000259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南京银行安稳1903一年定开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063B71">
      <w:pPr>
        <w:spacing w:before="240" w:afterLines="30" w:line="360" w:lineRule="auto"/>
        <w:rPr>
          <w:rFonts w:ascii="方正仿宋简体" w:eastAsia="方正仿宋简体"/>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lastRenderedPageBreak/>
        <w:t>§7 关联交易情况</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691,814,504.11</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164,733,758.90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100,000,000.00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323576">
        <w:rPr>
          <w:rFonts w:ascii="方正仿宋简体" w:eastAsia="方正仿宋简体" w:hAnsi="宋体" w:cs="宋体" w:hint="eastAsia"/>
          <w:color w:val="000000"/>
          <w:kern w:val="0"/>
          <w:sz w:val="24"/>
          <w:szCs w:val="24"/>
        </w:rPr>
        <w:t>应</w:t>
      </w:r>
      <w:r w:rsidR="00E82AB5">
        <w:rPr>
          <w:rFonts w:ascii="方正仿宋简体" w:eastAsia="方正仿宋简体" w:hAnsi="宋体" w:cs="宋体" w:hint="eastAsia"/>
          <w:color w:val="000000"/>
          <w:kern w:val="0"/>
          <w:sz w:val="24"/>
          <w:szCs w:val="24"/>
        </w:rPr>
        <w:t>支付</w:t>
      </w:r>
      <w:r>
        <w:rPr>
          <w:rFonts w:ascii="方正仿宋简体" w:eastAsia="方正仿宋简体" w:hAnsi="宋体" w:cs="宋体" w:hint="eastAsia"/>
          <w:color w:val="000000"/>
          <w:kern w:val="0"/>
          <w:sz w:val="24"/>
          <w:szCs w:val="24"/>
        </w:rPr>
        <w:t>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252,520.63</w:t>
      </w:r>
      <w:r>
        <w:rPr>
          <w:rFonts w:ascii="方正仿宋简体" w:eastAsia="方正仿宋简体" w:hAnsi="宋体" w:cs="宋体" w:hint="eastAsia"/>
          <w:color w:val="000000"/>
          <w:kern w:val="0"/>
          <w:sz w:val="24"/>
          <w:szCs w:val="24"/>
        </w:rPr>
        <w:t>元，</w:t>
      </w:r>
      <w:r w:rsidR="00323576">
        <w:rPr>
          <w:rFonts w:ascii="方正仿宋简体" w:eastAsia="方正仿宋简体" w:hAnsi="宋体" w:cs="宋体" w:hint="eastAsia"/>
          <w:color w:val="000000"/>
          <w:kern w:val="0"/>
          <w:sz w:val="24"/>
          <w:szCs w:val="24"/>
        </w:rPr>
        <w:t>应</w:t>
      </w:r>
      <w:r w:rsidR="00E82AB5">
        <w:rPr>
          <w:rFonts w:ascii="方正仿宋简体" w:eastAsia="方正仿宋简体" w:hAnsi="宋体" w:cs="宋体" w:hint="eastAsia"/>
          <w:color w:val="000000"/>
          <w:kern w:val="0"/>
          <w:sz w:val="24"/>
          <w:szCs w:val="24"/>
        </w:rPr>
        <w:t>支付</w:t>
      </w:r>
      <w:r>
        <w:rPr>
          <w:rFonts w:ascii="方正仿宋简体" w:eastAsia="方正仿宋简体" w:hAnsi="宋体" w:cs="宋体" w:hint="eastAsia"/>
          <w:color w:val="000000"/>
          <w:kern w:val="0"/>
          <w:sz w:val="24"/>
          <w:szCs w:val="24"/>
        </w:rPr>
        <w:t>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2,496,190.96</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FF26C8" w:rsidRDefault="00AA4D99" w:rsidP="00063B71">
      <w:pPr>
        <w:spacing w:before="240" w:afterLines="30" w:line="360" w:lineRule="auto"/>
        <w:ind w:firstLineChars="200" w:firstLine="480"/>
        <w:rPr>
          <w:rFonts w:ascii="方正仿宋简体" w:eastAsia="方正仿宋简体" w:hAnsi="宋体" w:cs="宋体" w:hint="eastAsia"/>
          <w:kern w:val="0"/>
          <w:sz w:val="24"/>
          <w:szCs w:val="24"/>
        </w:rPr>
      </w:pPr>
      <w:r>
        <w:rPr>
          <w:rFonts w:ascii="方正仿宋简体" w:eastAsia="方正仿宋简体" w:hAnsi="宋体" w:cs="宋体" w:hint="eastAsia"/>
          <w:color w:val="000000"/>
          <w:kern w:val="0"/>
          <w:sz w:val="24"/>
          <w:szCs w:val="24"/>
        </w:rPr>
        <w:t>报告期内，产品未发生重大关联交易。</w:t>
      </w:r>
    </w:p>
    <w:p w:rsidR="00063B71" w:rsidRPr="00063B71" w:rsidRDefault="00063B71" w:rsidP="00063B71">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2448E3" w:rsidRPr="003B7361" w:rsidRDefault="002448E3" w:rsidP="00063B71">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C66151">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59734B">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960" w:rsidRDefault="00A16960">
      <w:r>
        <w:separator/>
      </w:r>
    </w:p>
  </w:endnote>
  <w:endnote w:type="continuationSeparator" w:id="1">
    <w:p w:rsidR="00A16960" w:rsidRDefault="00A169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C66151">
    <w:pPr>
      <w:pStyle w:val="a6"/>
      <w:framePr w:wrap="around" w:vAnchor="text" w:hAnchor="margin" w:xAlign="center" w:y="1"/>
      <w:rPr>
        <w:rStyle w:val="aa"/>
      </w:rPr>
    </w:pPr>
    <w:r>
      <w:fldChar w:fldCharType="begin"/>
    </w:r>
    <w:r w:rsidR="001B497D">
      <w:rPr>
        <w:rStyle w:val="aa"/>
      </w:rPr>
      <w:instrText xml:space="preserve">PAGE  </w:instrText>
    </w:r>
    <w:r>
      <w:fldChar w:fldCharType="end"/>
    </w:r>
  </w:p>
  <w:p w:rsidR="00FF26C8" w:rsidRDefault="00FF26C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960" w:rsidRDefault="00A16960">
      <w:r>
        <w:separator/>
      </w:r>
    </w:p>
  </w:footnote>
  <w:footnote w:type="continuationSeparator" w:id="1">
    <w:p w:rsidR="00A16960" w:rsidRDefault="00A169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6866"/>
  </w:hdrShapeDefaults>
  <w:footnotePr>
    <w:footnote w:id="0"/>
    <w:footnote w:id="1"/>
  </w:footnotePr>
  <w:endnotePr>
    <w:endnote w:id="0"/>
    <w:endnote w:id="1"/>
  </w:endnotePr>
  <w:compat>
    <w:doNotExpandShiftReturn/>
    <w:useFELayout/>
  </w:compat>
  <w:rsids>
    <w:rsidRoot w:val="00172A27"/>
    <w:rsid w:val="000060E5"/>
    <w:rsid w:val="0001734B"/>
    <w:rsid w:val="000234FF"/>
    <w:rsid w:val="00026D52"/>
    <w:rsid w:val="000318AA"/>
    <w:rsid w:val="00034FF6"/>
    <w:rsid w:val="0003519B"/>
    <w:rsid w:val="00044BFF"/>
    <w:rsid w:val="000470C2"/>
    <w:rsid w:val="0005474A"/>
    <w:rsid w:val="00061725"/>
    <w:rsid w:val="00063B71"/>
    <w:rsid w:val="00082D5F"/>
    <w:rsid w:val="00095B95"/>
    <w:rsid w:val="000A3711"/>
    <w:rsid w:val="000D5066"/>
    <w:rsid w:val="000E3A08"/>
    <w:rsid w:val="000E6ACE"/>
    <w:rsid w:val="000F6191"/>
    <w:rsid w:val="00125CBA"/>
    <w:rsid w:val="001279EA"/>
    <w:rsid w:val="00130CE8"/>
    <w:rsid w:val="0014449D"/>
    <w:rsid w:val="00152201"/>
    <w:rsid w:val="00172A27"/>
    <w:rsid w:val="001735BA"/>
    <w:rsid w:val="00176636"/>
    <w:rsid w:val="00183C84"/>
    <w:rsid w:val="001B497D"/>
    <w:rsid w:val="001C05F9"/>
    <w:rsid w:val="001C144C"/>
    <w:rsid w:val="001C5395"/>
    <w:rsid w:val="001C65BD"/>
    <w:rsid w:val="001E2EEA"/>
    <w:rsid w:val="001E5905"/>
    <w:rsid w:val="001E7120"/>
    <w:rsid w:val="001F16B3"/>
    <w:rsid w:val="00211F26"/>
    <w:rsid w:val="00224D9D"/>
    <w:rsid w:val="002263FC"/>
    <w:rsid w:val="00244117"/>
    <w:rsid w:val="002448E3"/>
    <w:rsid w:val="00247A0A"/>
    <w:rsid w:val="0026638C"/>
    <w:rsid w:val="00295E85"/>
    <w:rsid w:val="002A3AE9"/>
    <w:rsid w:val="002C196E"/>
    <w:rsid w:val="002C3513"/>
    <w:rsid w:val="002C4810"/>
    <w:rsid w:val="002C555A"/>
    <w:rsid w:val="002D28D0"/>
    <w:rsid w:val="002D2DB0"/>
    <w:rsid w:val="002D6D6F"/>
    <w:rsid w:val="002D75D0"/>
    <w:rsid w:val="002E7131"/>
    <w:rsid w:val="002E795C"/>
    <w:rsid w:val="00305714"/>
    <w:rsid w:val="00313E71"/>
    <w:rsid w:val="00321CB7"/>
    <w:rsid w:val="00323576"/>
    <w:rsid w:val="003379A9"/>
    <w:rsid w:val="00350ADF"/>
    <w:rsid w:val="00355623"/>
    <w:rsid w:val="00387F9B"/>
    <w:rsid w:val="003A0419"/>
    <w:rsid w:val="003B7361"/>
    <w:rsid w:val="003C4D3B"/>
    <w:rsid w:val="003D4B6E"/>
    <w:rsid w:val="003E09EA"/>
    <w:rsid w:val="003E412C"/>
    <w:rsid w:val="003F0AC3"/>
    <w:rsid w:val="0042233D"/>
    <w:rsid w:val="0043250B"/>
    <w:rsid w:val="00456251"/>
    <w:rsid w:val="004A2DC3"/>
    <w:rsid w:val="004B3B60"/>
    <w:rsid w:val="004B5DED"/>
    <w:rsid w:val="004C1607"/>
    <w:rsid w:val="004C1D39"/>
    <w:rsid w:val="004C544D"/>
    <w:rsid w:val="004E621E"/>
    <w:rsid w:val="004F2359"/>
    <w:rsid w:val="004F313C"/>
    <w:rsid w:val="00500DE2"/>
    <w:rsid w:val="005069D8"/>
    <w:rsid w:val="0051077F"/>
    <w:rsid w:val="00521B27"/>
    <w:rsid w:val="00522858"/>
    <w:rsid w:val="00526F3D"/>
    <w:rsid w:val="0055440C"/>
    <w:rsid w:val="0056130A"/>
    <w:rsid w:val="0056162E"/>
    <w:rsid w:val="00563B93"/>
    <w:rsid w:val="00567DB3"/>
    <w:rsid w:val="00581E78"/>
    <w:rsid w:val="00594CF2"/>
    <w:rsid w:val="00595354"/>
    <w:rsid w:val="0059734B"/>
    <w:rsid w:val="005B3434"/>
    <w:rsid w:val="005B3C9E"/>
    <w:rsid w:val="005B7384"/>
    <w:rsid w:val="005D5ED6"/>
    <w:rsid w:val="005E0686"/>
    <w:rsid w:val="005E2884"/>
    <w:rsid w:val="005E40C5"/>
    <w:rsid w:val="005E5050"/>
    <w:rsid w:val="005F2C7B"/>
    <w:rsid w:val="005F43AF"/>
    <w:rsid w:val="005F4D04"/>
    <w:rsid w:val="005F7DA9"/>
    <w:rsid w:val="006054F8"/>
    <w:rsid w:val="006468E7"/>
    <w:rsid w:val="0065419A"/>
    <w:rsid w:val="00654220"/>
    <w:rsid w:val="00663B94"/>
    <w:rsid w:val="00677F66"/>
    <w:rsid w:val="006A77A0"/>
    <w:rsid w:val="006B63CE"/>
    <w:rsid w:val="006C1014"/>
    <w:rsid w:val="006D4496"/>
    <w:rsid w:val="006E0CC3"/>
    <w:rsid w:val="006E4E94"/>
    <w:rsid w:val="006F69B2"/>
    <w:rsid w:val="007017D8"/>
    <w:rsid w:val="00730BEE"/>
    <w:rsid w:val="0073101E"/>
    <w:rsid w:val="00735153"/>
    <w:rsid w:val="00741E97"/>
    <w:rsid w:val="00745421"/>
    <w:rsid w:val="00745F96"/>
    <w:rsid w:val="00774E0A"/>
    <w:rsid w:val="00782F29"/>
    <w:rsid w:val="007A4219"/>
    <w:rsid w:val="007B08DF"/>
    <w:rsid w:val="007C2F4E"/>
    <w:rsid w:val="007D70CC"/>
    <w:rsid w:val="007E0B6E"/>
    <w:rsid w:val="007E4637"/>
    <w:rsid w:val="00800690"/>
    <w:rsid w:val="0080200C"/>
    <w:rsid w:val="00814110"/>
    <w:rsid w:val="0082561A"/>
    <w:rsid w:val="00846B2E"/>
    <w:rsid w:val="0085663C"/>
    <w:rsid w:val="00870717"/>
    <w:rsid w:val="008768AB"/>
    <w:rsid w:val="00885344"/>
    <w:rsid w:val="008870FD"/>
    <w:rsid w:val="008904CC"/>
    <w:rsid w:val="008926F7"/>
    <w:rsid w:val="008A7510"/>
    <w:rsid w:val="008C78BD"/>
    <w:rsid w:val="008D57C5"/>
    <w:rsid w:val="008F099C"/>
    <w:rsid w:val="008F0FA3"/>
    <w:rsid w:val="00900D90"/>
    <w:rsid w:val="00902630"/>
    <w:rsid w:val="00931BD2"/>
    <w:rsid w:val="009336F7"/>
    <w:rsid w:val="009354D6"/>
    <w:rsid w:val="00936D32"/>
    <w:rsid w:val="00956754"/>
    <w:rsid w:val="009679B0"/>
    <w:rsid w:val="00970A98"/>
    <w:rsid w:val="00977E89"/>
    <w:rsid w:val="009A4E79"/>
    <w:rsid w:val="009B1695"/>
    <w:rsid w:val="009B2EEF"/>
    <w:rsid w:val="009B3134"/>
    <w:rsid w:val="009C4574"/>
    <w:rsid w:val="009C6A99"/>
    <w:rsid w:val="009C781F"/>
    <w:rsid w:val="009D5296"/>
    <w:rsid w:val="009E6170"/>
    <w:rsid w:val="009F1FD4"/>
    <w:rsid w:val="009F4338"/>
    <w:rsid w:val="009F6D0D"/>
    <w:rsid w:val="00A16960"/>
    <w:rsid w:val="00A204A0"/>
    <w:rsid w:val="00A4484F"/>
    <w:rsid w:val="00A66D8E"/>
    <w:rsid w:val="00A76D4B"/>
    <w:rsid w:val="00A77C47"/>
    <w:rsid w:val="00A9119C"/>
    <w:rsid w:val="00A94A56"/>
    <w:rsid w:val="00AA4549"/>
    <w:rsid w:val="00AA4D99"/>
    <w:rsid w:val="00AA5B04"/>
    <w:rsid w:val="00AA6B99"/>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E47E0"/>
    <w:rsid w:val="00BF1B9E"/>
    <w:rsid w:val="00BF3D9D"/>
    <w:rsid w:val="00BF75C8"/>
    <w:rsid w:val="00C1762E"/>
    <w:rsid w:val="00C20F36"/>
    <w:rsid w:val="00C25123"/>
    <w:rsid w:val="00C2582A"/>
    <w:rsid w:val="00C30A48"/>
    <w:rsid w:val="00C375A7"/>
    <w:rsid w:val="00C44DFE"/>
    <w:rsid w:val="00C62DF8"/>
    <w:rsid w:val="00C640FB"/>
    <w:rsid w:val="00C66151"/>
    <w:rsid w:val="00C86023"/>
    <w:rsid w:val="00C94EBA"/>
    <w:rsid w:val="00CB054E"/>
    <w:rsid w:val="00CB417C"/>
    <w:rsid w:val="00CC52D7"/>
    <w:rsid w:val="00CE4DED"/>
    <w:rsid w:val="00D15B21"/>
    <w:rsid w:val="00D23AB6"/>
    <w:rsid w:val="00D50309"/>
    <w:rsid w:val="00D51AA9"/>
    <w:rsid w:val="00D7264A"/>
    <w:rsid w:val="00D74E0B"/>
    <w:rsid w:val="00D84E43"/>
    <w:rsid w:val="00D870DF"/>
    <w:rsid w:val="00DA30A0"/>
    <w:rsid w:val="00DB0C2F"/>
    <w:rsid w:val="00DB2A0F"/>
    <w:rsid w:val="00DB3BF6"/>
    <w:rsid w:val="00DB56A2"/>
    <w:rsid w:val="00DC31CC"/>
    <w:rsid w:val="00DC728A"/>
    <w:rsid w:val="00DD2F3C"/>
    <w:rsid w:val="00DD65B5"/>
    <w:rsid w:val="00DF3CF1"/>
    <w:rsid w:val="00DF6907"/>
    <w:rsid w:val="00E1059D"/>
    <w:rsid w:val="00E155DF"/>
    <w:rsid w:val="00E15FF4"/>
    <w:rsid w:val="00E246E1"/>
    <w:rsid w:val="00E314CE"/>
    <w:rsid w:val="00E41EA0"/>
    <w:rsid w:val="00E514EB"/>
    <w:rsid w:val="00E52823"/>
    <w:rsid w:val="00E52B10"/>
    <w:rsid w:val="00E600D0"/>
    <w:rsid w:val="00E67300"/>
    <w:rsid w:val="00E7192D"/>
    <w:rsid w:val="00E82AB5"/>
    <w:rsid w:val="00E944FA"/>
    <w:rsid w:val="00E9797A"/>
    <w:rsid w:val="00EB0DB4"/>
    <w:rsid w:val="00EE0436"/>
    <w:rsid w:val="00F17470"/>
    <w:rsid w:val="00F41324"/>
    <w:rsid w:val="00F57C12"/>
    <w:rsid w:val="00F609FD"/>
    <w:rsid w:val="00F64BD9"/>
    <w:rsid w:val="00F7052D"/>
    <w:rsid w:val="00F771E3"/>
    <w:rsid w:val="00F8162C"/>
    <w:rsid w:val="00F82713"/>
    <w:rsid w:val="00F84F36"/>
    <w:rsid w:val="00F859AB"/>
    <w:rsid w:val="00F907A7"/>
    <w:rsid w:val="00F950D0"/>
    <w:rsid w:val="00F96031"/>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34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59734B"/>
    <w:rPr>
      <w:b/>
      <w:bCs/>
    </w:rPr>
  </w:style>
  <w:style w:type="paragraph" w:styleId="a4">
    <w:name w:val="annotation text"/>
    <w:basedOn w:val="a"/>
    <w:link w:val="Char0"/>
    <w:uiPriority w:val="99"/>
    <w:unhideWhenUsed/>
    <w:qFormat/>
    <w:rsid w:val="0059734B"/>
    <w:pPr>
      <w:jc w:val="left"/>
    </w:pPr>
  </w:style>
  <w:style w:type="paragraph" w:styleId="a5">
    <w:name w:val="Balloon Text"/>
    <w:basedOn w:val="a"/>
    <w:link w:val="Char1"/>
    <w:uiPriority w:val="99"/>
    <w:unhideWhenUsed/>
    <w:qFormat/>
    <w:rsid w:val="0059734B"/>
    <w:rPr>
      <w:sz w:val="18"/>
      <w:szCs w:val="18"/>
    </w:rPr>
  </w:style>
  <w:style w:type="paragraph" w:styleId="a6">
    <w:name w:val="footer"/>
    <w:basedOn w:val="a"/>
    <w:link w:val="Char2"/>
    <w:uiPriority w:val="99"/>
    <w:unhideWhenUsed/>
    <w:qFormat/>
    <w:rsid w:val="0059734B"/>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59734B"/>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59734B"/>
    <w:pPr>
      <w:snapToGrid w:val="0"/>
      <w:jc w:val="left"/>
    </w:pPr>
    <w:rPr>
      <w:sz w:val="18"/>
    </w:rPr>
  </w:style>
  <w:style w:type="paragraph" w:styleId="a9">
    <w:name w:val="Normal (Web)"/>
    <w:basedOn w:val="a"/>
    <w:qFormat/>
    <w:rsid w:val="0059734B"/>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59734B"/>
  </w:style>
  <w:style w:type="character" w:styleId="ab">
    <w:name w:val="annotation reference"/>
    <w:uiPriority w:val="99"/>
    <w:unhideWhenUsed/>
    <w:qFormat/>
    <w:rsid w:val="0059734B"/>
    <w:rPr>
      <w:sz w:val="21"/>
      <w:szCs w:val="21"/>
    </w:rPr>
  </w:style>
  <w:style w:type="character" w:styleId="ac">
    <w:name w:val="footnote reference"/>
    <w:uiPriority w:val="99"/>
    <w:unhideWhenUsed/>
    <w:qFormat/>
    <w:rsid w:val="0059734B"/>
    <w:rPr>
      <w:vertAlign w:val="superscript"/>
    </w:rPr>
  </w:style>
  <w:style w:type="character" w:customStyle="1" w:styleId="Char1">
    <w:name w:val="批注框文本 Char"/>
    <w:link w:val="a5"/>
    <w:uiPriority w:val="99"/>
    <w:semiHidden/>
    <w:qFormat/>
    <w:rsid w:val="0059734B"/>
    <w:rPr>
      <w:kern w:val="2"/>
      <w:sz w:val="18"/>
      <w:szCs w:val="18"/>
    </w:rPr>
  </w:style>
  <w:style w:type="character" w:customStyle="1" w:styleId="Char3">
    <w:name w:val="页眉 Char"/>
    <w:link w:val="a7"/>
    <w:uiPriority w:val="99"/>
    <w:semiHidden/>
    <w:qFormat/>
    <w:locked/>
    <w:rsid w:val="0059734B"/>
    <w:rPr>
      <w:rFonts w:ascii="Times New Roman" w:hAnsi="Times New Roman" w:cs="Times New Roman" w:hint="default"/>
      <w:sz w:val="18"/>
      <w:szCs w:val="18"/>
    </w:rPr>
  </w:style>
  <w:style w:type="character" w:customStyle="1" w:styleId="Char">
    <w:name w:val="批注主题 Char"/>
    <w:link w:val="a3"/>
    <w:uiPriority w:val="99"/>
    <w:semiHidden/>
    <w:qFormat/>
    <w:rsid w:val="0059734B"/>
    <w:rPr>
      <w:b/>
      <w:bCs/>
      <w:kern w:val="2"/>
      <w:sz w:val="21"/>
      <w:szCs w:val="22"/>
    </w:rPr>
  </w:style>
  <w:style w:type="character" w:customStyle="1" w:styleId="Char2">
    <w:name w:val="页脚 Char"/>
    <w:link w:val="a6"/>
    <w:uiPriority w:val="99"/>
    <w:semiHidden/>
    <w:qFormat/>
    <w:locked/>
    <w:rsid w:val="0059734B"/>
    <w:rPr>
      <w:rFonts w:ascii="Times New Roman" w:hAnsi="Times New Roman" w:cs="Times New Roman" w:hint="default"/>
      <w:sz w:val="18"/>
      <w:szCs w:val="18"/>
    </w:rPr>
  </w:style>
  <w:style w:type="character" w:customStyle="1" w:styleId="Char0">
    <w:name w:val="批注文字 Char"/>
    <w:link w:val="a4"/>
    <w:uiPriority w:val="99"/>
    <w:qFormat/>
    <w:rsid w:val="0059734B"/>
    <w:rPr>
      <w:kern w:val="2"/>
      <w:sz w:val="21"/>
      <w:szCs w:val="22"/>
    </w:rPr>
  </w:style>
  <w:style w:type="paragraph" w:customStyle="1" w:styleId="zhongyaotishi">
    <w:name w:val="zhongyaotishi"/>
    <w:basedOn w:val="a"/>
    <w:qFormat/>
    <w:rsid w:val="0059734B"/>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59734B"/>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59734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59734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59734B"/>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59734B"/>
    <w:pPr>
      <w:widowControl w:val="0"/>
      <w:jc w:val="center"/>
    </w:pPr>
    <w:rPr>
      <w:kern w:val="2"/>
      <w:sz w:val="33"/>
      <w:szCs w:val="22"/>
    </w:rPr>
  </w:style>
  <w:style w:type="paragraph" w:customStyle="1" w:styleId="biaogeleft">
    <w:name w:val="biaoge_left"/>
    <w:basedOn w:val="a"/>
    <w:qFormat/>
    <w:rsid w:val="0059734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59734B"/>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59734B"/>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59734B"/>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59734B"/>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59734B"/>
    <w:pPr>
      <w:widowControl w:val="0"/>
    </w:pPr>
    <w:rPr>
      <w:kern w:val="2"/>
      <w:sz w:val="21"/>
      <w:szCs w:val="22"/>
    </w:rPr>
  </w:style>
  <w:style w:type="paragraph" w:customStyle="1" w:styleId="neirong">
    <w:name w:val="neirong"/>
    <w:basedOn w:val="a"/>
    <w:qFormat/>
    <w:rsid w:val="0059734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59734B"/>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divs>
    <w:div w:id="1056663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382</Words>
  <Characters>2183</Characters>
  <Application>Microsoft Office Word</Application>
  <DocSecurity>0</DocSecurity>
  <Lines>18</Lines>
  <Paragraphs>5</Paragraphs>
  <ScaleCrop>false</ScaleCrop>
  <Company>微软中国</Company>
  <LinksUpToDate>false</LinksUpToDate>
  <CharactersWithSpaces>2560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2023-04-26T11:21:00Z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