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南银理财珠联璧合理财管理计划1号公募人民币理财产品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南银理财珠联璧合理财管理计划1号公募人民币理财产品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Z7003220000003（投资者可依据该编码在中国理财网www.chinawealth.com.cn查询理财产品相关信息）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开放式净值型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2014年09月17日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6,641,582,880.28份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105.77</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报告期（2022年01月01日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Z10001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6,919,783,261.54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1.3762</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148,511.53</w:t>
            </w: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年初在国内稳增长政策发力，以及俄乌冲突、海外加息等外围因素扰动下，债券市场有所调整；但疫情冲击、房地产风波等事件持续影响市场风险偏好，叠加流动性宽松支撑债券收益率整体下行，结构性“资产荒”加剧推动债券利差压缩至历史极低水平。进入11月，在资金面收敛、疫情和地产政策调整、理财“负反馈”等压力冲击下，债券市场剧烈快速调整。12月中下旬，央行对市场流动性的呵护明显加强，叠加疫情感染面有所扩大，短期对经济生产形成一定拖累，债市情绪逐渐企稳修复。</w:t>
        <w:br w:type="textWrapping" w:clear="all"/>
      </w:r>
      <w:r>
        <w:rPr>
          <w:rFonts w:ascii="方正仿宋简体" w:eastAsia="方正仿宋简体" w:hint="eastAsia"/>
          <w:sz w:val="24"/>
          <w:szCs w:val="24"/>
        </w:rPr>
        <w:t xml:space="preserve">    展望2023年，经济复苏的方向较为确定，但市场对复苏的斜率和持续性仍存在分歧，主要原因还是在于中长期预期的不确定性制约了企业投资生产和居民消费需求的释放。在稳增长阶段，央行货币政策的定调仍较积极，流动性收紧可能性较小。债券收益率在经过快速调整后，估值处于合理较优水平。综合来看，债市出现趋势性单边行情的空间均有限，未来行情以震荡为主。</w:t>
        <w:br w:type="textWrapping" w:clear="all"/>
      </w:r>
      <w:r>
        <w:rPr>
          <w:rFonts w:ascii="方正仿宋简体" w:eastAsia="方正仿宋简体" w:hint="eastAsia"/>
          <w:sz w:val="24"/>
          <w:szCs w:val="24"/>
        </w:rPr>
        <w:t xml:space="preserve">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Z10001份额净值为1.0418</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220201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22国开01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200,007,400.00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166522</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20泰交01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190,000,429.17</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176,720,080.39</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1928013</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19民生银行永续债</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158,221,120.00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197653</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21绍旅03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101,175,000.00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032000775</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20湘江新区PPN001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100,505,400.00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102000856</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20镇国投MTN001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100,313,400.00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197787</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21嘉高新</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100,167,000.00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220401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22农发01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100,013,900.00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166602</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20启国01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01640124840000194</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南京银行珠联璧合理财计划</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20,004,767.12</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238,825,106.85</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772,392,501.39</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950,000,000.00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1,874,926.99</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20,746,374.76</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