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Pr="00977E89" w:rsidRDefault="00977E89" w:rsidP="007D3312">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南银理财珠联璧合鑫逸稳一年55期封闭式公募人民币理财产品</w:t>
      </w:r>
    </w:p>
    <w:p w:rsidR="00FF26C8" w:rsidRPr="00977E89" w:rsidRDefault="00977E89" w:rsidP="007D331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977E89"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产品管理人:南银理财有限责任公司</w:t>
      </w:r>
    </w:p>
    <w:p w:rsidR="00FF26C8"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产品托管人:南京银行股份有限公司</w:t>
      </w:r>
    </w:p>
    <w:p w:rsidR="00E11B2F" w:rsidRDefault="00E11B2F">
      <w:pPr>
        <w:widowControl/>
        <w:jc w:val="left"/>
        <w:rPr>
          <w:rFonts w:ascii="方正仿宋简体" w:eastAsia="方正仿宋简体"/>
          <w:sz w:val="24"/>
          <w:szCs w:val="24"/>
        </w:rPr>
      </w:pPr>
      <w:r>
        <w:rPr>
          <w:rFonts w:ascii="方正仿宋简体" w:eastAsia="方正仿宋简体"/>
          <w:sz w:val="24"/>
          <w:szCs w:val="24"/>
        </w:rPr>
        <w:br w:type="page"/>
      </w:r>
    </w:p>
    <w:p w:rsidR="00FF26C8" w:rsidRPr="00E11B2F" w:rsidRDefault="001B497D" w:rsidP="007D3312">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南银理财珠联璧合鑫逸稳一年55期封闭式公募人民币理财产品</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Z7003222000023（投资者可依据该编码在中国理财网www.chinawealth.com.cn查询理财产品相关信息）</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封闭式净值型</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2022年04月13日</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CD79D3">
              <w:rPr>
                <w:rFonts w:ascii="方正仿宋简体" w:eastAsia="方正仿宋简体" w:hint="eastAsia"/>
                <w:sz w:val="24"/>
                <w:szCs w:val="24"/>
              </w:rPr>
              <w:t/>
            </w:r>
            <w:r w:rsidRPr="003B7361">
              <w:rPr>
                <w:rFonts w:ascii="方正仿宋简体" w:eastAsia="方正仿宋简体" w:hint="eastAsia"/>
                <w:sz w:val="24"/>
                <w:szCs w:val="24"/>
              </w:rPr>
              <w:t>372,748,463.00份</w:t>
            </w:r>
          </w:p>
        </w:tc>
      </w:tr>
      <w:tr w:rsidR="006B0D3E" w:rsidRPr="003B7361" w:rsidTr="00982592">
        <w:tc>
          <w:tcPr>
            <w:tcW w:w="2811"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sz w:val="24"/>
                <w:szCs w:val="24"/>
              </w:rPr>
              <w:t>100.21</w:t>
            </w:r>
            <w:r w:rsidR="002678D9">
              <w:rPr>
                <w:rFonts w:ascii="方正仿宋简体" w:eastAsia="方正仿宋简体"/>
                <w:sz w:val="24"/>
                <w:szCs w:val="24"/>
              </w:rPr>
              <w:t>%</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鹏华基金管理有限公司、鑫元基金管理有限公司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7D3312">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Pr="003B7361" w:rsidRDefault="001B497D" w:rsidP="007D3312">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413"/>
        <w:gridCol w:w="2268"/>
        <w:gridCol w:w="1701"/>
        <w:gridCol w:w="2126"/>
        <w:gridCol w:w="1394"/>
      </w:tblGrid>
      <w:tr w:rsidR="008273FB" w:rsidRPr="000F06ED" w:rsidTr="001D484E">
        <w:trPr>
          <w:trHeight w:val="755"/>
          <w:jc w:val="center"/>
        </w:trPr>
        <w:tc>
          <w:tcPr>
            <w:tcW w:w="1413" w:type="dxa"/>
            <w:vMerge w:val="restart"/>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内部销售代码</w:t>
            </w:r>
          </w:p>
        </w:tc>
        <w:tc>
          <w:tcPr>
            <w:tcW w:w="7489" w:type="dxa"/>
            <w:gridSpan w:val="4"/>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报告期（2022年04月13日 - 2022年12月31日）</w:t>
            </w:r>
          </w:p>
        </w:tc>
      </w:tr>
      <w:tr w:rsidR="008273FB" w:rsidRPr="000F06ED" w:rsidTr="008F169F">
        <w:trPr>
          <w:jc w:val="center"/>
        </w:trPr>
        <w:tc>
          <w:tcPr>
            <w:tcW w:w="1413" w:type="dxa"/>
            <w:vMerge/>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p>
        </w:tc>
        <w:tc>
          <w:tcPr>
            <w:tcW w:w="2268"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Y30055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380,250,540.03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1.0201</w:t>
            </w:r>
          </w:p>
        </w:tc>
        <w:tc>
          <w:tcPr>
            <w:tcW w:w="1394"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3,000.00</w:t>
            </w:r>
          </w:p>
        </w:tc>
      </w:tr>
    </w:tbl>
    <w:p w:rsidR="00FF26C8" w:rsidRPr="003B7361" w:rsidRDefault="001B497D"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FF26C8" w:rsidRPr="009A4E58"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7D3312">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在前十个月时间，虽然出现春节后经济复苏、海外加息，以及股价下跌导致固收+产品的赎回，带来债市的调整，但二季度以来经历疫情冲击、房地产风波、央行超预期降息的持续催化下，债券收益率整体趋于下行，叠加资产荒推动下，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总体来看，10年期国债收益率维持在2.85%左右，信用利差则保持在近3年以来的高位。</w:t>
        <w:br w:type="textWrapping" w:clear="all"/>
      </w:r>
      <w:r>
        <w:rPr>
          <w:rFonts w:ascii="方正仿宋简体" w:eastAsia="方正仿宋简体" w:hint="eastAsia"/>
          <w:sz w:val="24"/>
          <w:szCs w:val="24"/>
        </w:rPr>
        <w:t xml:space="preserve">    展望2023年，经济复苏的方向较为确定，但市场对复苏的斜率和持续性仍存在分歧，相对确定的是在经济修复初期，流动性收紧概率较小，货币政策大概率会呵护资金面维持宽松，因此对债市表现不悲观，维持相对中性。债市可能会在“弱现实、强预期”和“强现实、弱预期”间交替演绎，债市出现明确利多、利空方向的概率不大，整体判断维持震荡，倾向于认为今年债市调整风险可控，因此在这种背景下，票息策略可能仍相对占优，操作上维持适度杠杆，增厚收益，控制久期。</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3B7361">
        <w:rPr>
          <w:rFonts w:ascii="方正仿宋简体" w:eastAsia="方正仿宋简体" w:hint="eastAsia"/>
          <w:sz w:val="24"/>
          <w:szCs w:val="24"/>
        </w:rPr>
        <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7D3312">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567EE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份额净值为1.0201</w:t>
      </w:r>
      <w:r w:rsidRPr="003B7361">
        <w:rPr>
          <w:rFonts w:ascii="方正仿宋简体" w:eastAsia="方正仿宋简体" w:hint="eastAsia"/>
          <w:sz w:val="24"/>
          <w:szCs w:val="24"/>
        </w:rPr>
        <w:t>元。</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0E3F60" w:rsidRDefault="001B497D" w:rsidP="007D3312">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E3F60" w:rsidRDefault="000E3F60" w:rsidP="007D3312">
      <w:pPr>
        <w:spacing w:before="240" w:afterLines="30" w:line="360" w:lineRule="auto"/>
        <w:rPr>
          <w:rFonts w:ascii="方正仿宋简体" w:eastAsia="方正仿宋简体"/>
          <w:sz w:val="24"/>
          <w:szCs w:val="24"/>
        </w:rPr>
      </w:pPr>
    </w:p>
    <w:p w:rsidR="00FF26C8" w:rsidRPr="000E3F60"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1</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固定</w:t>
            </w:r>
            <w:r w:rsidR="00A93E3C" w:rsidRPr="004568D2">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r>
      <w:tr w:rsidR="00B43E89" w:rsidRPr="003B7361" w:rsidTr="008F169F">
        <w:trPr>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2</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3</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4</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5</w:t>
            </w:r>
          </w:p>
        </w:tc>
        <w:tc>
          <w:tcPr>
            <w:tcW w:w="1843"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7D3312">
      <w:pPr>
        <w:spacing w:before="240" w:afterLines="30" w:line="360" w:lineRule="auto"/>
        <w:rPr>
          <w:rFonts w:ascii="方正仿宋简体" w:eastAsia="方正仿宋简体" w:cs="宋体"/>
          <w:kern w:val="0"/>
          <w:sz w:val="24"/>
          <w:szCs w:val="24"/>
        </w:rPr>
      </w:pP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0379EA">
        <w:rPr>
          <w:rFonts w:ascii="方正仿宋简体" w:eastAsia="方正仿宋简体" w:hint="eastAsia"/>
          <w:b/>
          <w:sz w:val="24"/>
          <w:szCs w:val="24"/>
        </w:rPr>
        <w:t>占产品</w:t>
      </w:r>
      <w:r w:rsidRPr="003B7361">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589"/>
        <w:gridCol w:w="1748"/>
        <w:gridCol w:w="2721"/>
        <w:gridCol w:w="2059"/>
        <w:gridCol w:w="1785"/>
      </w:tblGrid>
      <w:tr w:rsidR="00B43E89" w:rsidRPr="003B7361" w:rsidTr="006B6B67">
        <w:trPr>
          <w:trHeight w:val="870"/>
          <w:jc w:val="center"/>
        </w:trPr>
        <w:tc>
          <w:tcPr>
            <w:tcW w:w="582"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728"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代码</w:t>
            </w:r>
          </w:p>
        </w:tc>
        <w:tc>
          <w:tcPr>
            <w:tcW w:w="2690"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名称</w:t>
            </w:r>
          </w:p>
        </w:tc>
        <w:tc>
          <w:tcPr>
            <w:tcW w:w="203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公允价值(元)</w:t>
            </w:r>
          </w:p>
        </w:tc>
        <w:tc>
          <w:tcPr>
            <w:tcW w:w="176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占产品资产净值比例（％）</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ZJQTT202202230001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鑫元基金-鑫安利得59号集合资产管理计划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171,216,824.51</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45.03</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22088516</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22锦汇集团01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28.93</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22088507</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22盐城城南03</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18.41</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ZJQTT202103180001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鹏华基金南华1号集合资产管理计划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22,046,068.91</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5.80</w:t>
            </w:r>
          </w:p>
        </w:tc>
      </w:tr>
    </w:tbl>
    <w:p w:rsidR="00977E89" w:rsidRPr="003B7361" w:rsidRDefault="00977E89" w:rsidP="007D3312">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7D3312">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B43E89" w:rsidRPr="003B7361" w:rsidTr="006B6B67">
        <w:trPr>
          <w:jc w:val="center"/>
        </w:trPr>
        <w:tc>
          <w:tcPr>
            <w:tcW w:w="709"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融资客户</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项目名称</w:t>
            </w:r>
          </w:p>
        </w:tc>
        <w:tc>
          <w:tcPr>
            <w:tcW w:w="14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剩余融资期限</w:t>
            </w:r>
            <w:r w:rsidR="00473E35">
              <w:rPr>
                <w:rFonts w:ascii="方正仿宋简体" w:eastAsia="方正仿宋简体" w:hAnsiTheme="minorEastAsia" w:hint="eastAsia"/>
                <w:sz w:val="24"/>
                <w:szCs w:val="24"/>
              </w:rPr>
              <w:t>（天</w:t>
            </w:r>
            <w:r w:rsidR="00473E35">
              <w:rPr>
                <w:rFonts w:ascii="方正仿宋简体" w:eastAsia="方正仿宋简体" w:hAnsiTheme="minorEastAsia"/>
                <w:sz w:val="24"/>
                <w:szCs w:val="24"/>
              </w:rPr>
              <w:t>）</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到期收益分配</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交易结构</w:t>
            </w:r>
          </w:p>
        </w:tc>
        <w:tc>
          <w:tcPr>
            <w:tcW w:w="85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盐城市城南新区开发建设投资有限公司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22盐城城南03</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江苏锦汇集团有限公司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22锦汇集团01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111</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B43E89" w:rsidRPr="003B7361" w:rsidTr="006B6B67">
        <w:trPr>
          <w:trHeight w:val="705"/>
          <w:jc w:val="center"/>
        </w:trPr>
        <w:tc>
          <w:tcPr>
            <w:tcW w:w="99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55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账户类型</w:t>
            </w:r>
          </w:p>
        </w:tc>
        <w:tc>
          <w:tcPr>
            <w:tcW w:w="25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账号</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账户名称</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开户单位</w:t>
            </w:r>
          </w:p>
        </w:tc>
      </w:tr>
      <w:tr>
        <w:trPr>
          <w:jc w:val="center"/>
        </w:trPr>
        <w:tc>
          <w:tcPr>
            <w:tcW w:w="99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0120030000000794</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南银理财鑫逸稳一年55期</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7D3312">
      <w:pPr>
        <w:spacing w:before="240" w:afterLines="30" w:line="360" w:lineRule="auto"/>
        <w:rPr>
          <w:rFonts w:ascii="方正仿宋简体" w:eastAsia="方正仿宋简体"/>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§7 关联交易情况</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180,000,000.00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350,000,000.00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54,313.81</w:t>
      </w:r>
      <w:r>
        <w:rPr>
          <w:rFonts w:ascii="方正仿宋简体" w:eastAsia="方正仿宋简体" w:hAnsi="宋体" w:cs="宋体" w:hint="eastAsia"/>
          <w:color w:val="000000"/>
          <w:kern w:val="0"/>
          <w:sz w:val="24"/>
          <w:szCs w:val="24"/>
        </w:rPr>
        <w:t>元，</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381,931.02</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Default="00950650" w:rsidP="004C3895">
      <w:pPr>
        <w:spacing w:before="240" w:afterLines="30" w:line="360" w:lineRule="auto"/>
        <w:ind w:firstLineChars="200" w:firstLine="480"/>
        <w:rPr>
          <w:rFonts w:ascii="方正仿宋简体" w:eastAsia="方正仿宋简体" w:hAnsi="宋体" w:cs="宋体" w:hint="eastAsia"/>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4C3895" w:rsidRPr="004C3895" w:rsidRDefault="004C3895" w:rsidP="004C389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2448E3" w:rsidRPr="003B7361" w:rsidRDefault="002448E3" w:rsidP="007D3312">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96036D">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D56204">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54" w:rsidRDefault="00FC0E54">
      <w:r>
        <w:separator/>
      </w:r>
    </w:p>
  </w:endnote>
  <w:endnote w:type="continuationSeparator" w:id="1">
    <w:p w:rsidR="00FC0E54" w:rsidRDefault="00FC0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96036D">
    <w:pPr>
      <w:pStyle w:val="a6"/>
      <w:framePr w:wrap="around" w:vAnchor="text" w:hAnchor="margin" w:xAlign="center" w:y="1"/>
      <w:rPr>
        <w:rStyle w:val="aa"/>
      </w:rPr>
    </w:pPr>
    <w:r>
      <w:fldChar w:fldCharType="begin"/>
    </w:r>
    <w:r w:rsidR="00E11B2F">
      <w:rPr>
        <w:rStyle w:val="aa"/>
      </w:rPr>
      <w:instrText xml:space="preserve">PAGE  </w:instrText>
    </w:r>
    <w:r>
      <w:fldChar w:fldCharType="end"/>
    </w:r>
  </w:p>
  <w:p w:rsidR="00E11B2F" w:rsidRDefault="00E11B2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54" w:rsidRDefault="00FC0E54">
      <w:r>
        <w:separator/>
      </w:r>
    </w:p>
  </w:footnote>
  <w:footnote w:type="continuationSeparator" w:id="1">
    <w:p w:rsidR="00FC0E54" w:rsidRDefault="00FC0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45058"/>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B249A"/>
    <w:rsid w:val="004B5DED"/>
    <w:rsid w:val="004C1607"/>
    <w:rsid w:val="004C3895"/>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D3312"/>
    <w:rsid w:val="007E0B6E"/>
    <w:rsid w:val="007E4637"/>
    <w:rsid w:val="007E68A3"/>
    <w:rsid w:val="00800690"/>
    <w:rsid w:val="0080200C"/>
    <w:rsid w:val="00805821"/>
    <w:rsid w:val="00814110"/>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036D"/>
    <w:rsid w:val="009679B0"/>
    <w:rsid w:val="00970A98"/>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90306"/>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0817"/>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0E54"/>
    <w:rsid w:val="00FC350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2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56204"/>
    <w:rPr>
      <w:b/>
      <w:bCs/>
    </w:rPr>
  </w:style>
  <w:style w:type="paragraph" w:styleId="a4">
    <w:name w:val="annotation text"/>
    <w:basedOn w:val="a"/>
    <w:link w:val="Char0"/>
    <w:uiPriority w:val="99"/>
    <w:unhideWhenUsed/>
    <w:qFormat/>
    <w:rsid w:val="00D56204"/>
    <w:pPr>
      <w:jc w:val="left"/>
    </w:pPr>
  </w:style>
  <w:style w:type="paragraph" w:styleId="a5">
    <w:name w:val="Balloon Text"/>
    <w:basedOn w:val="a"/>
    <w:link w:val="Char1"/>
    <w:uiPriority w:val="99"/>
    <w:unhideWhenUsed/>
    <w:qFormat/>
    <w:rsid w:val="00D56204"/>
    <w:rPr>
      <w:sz w:val="18"/>
      <w:szCs w:val="18"/>
    </w:rPr>
  </w:style>
  <w:style w:type="paragraph" w:styleId="a6">
    <w:name w:val="footer"/>
    <w:basedOn w:val="a"/>
    <w:link w:val="Char2"/>
    <w:uiPriority w:val="99"/>
    <w:unhideWhenUsed/>
    <w:qFormat/>
    <w:rsid w:val="00D56204"/>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56204"/>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D56204"/>
    <w:pPr>
      <w:snapToGrid w:val="0"/>
      <w:jc w:val="left"/>
    </w:pPr>
    <w:rPr>
      <w:sz w:val="18"/>
    </w:rPr>
  </w:style>
  <w:style w:type="paragraph" w:styleId="a9">
    <w:name w:val="Normal (Web)"/>
    <w:basedOn w:val="a"/>
    <w:qFormat/>
    <w:rsid w:val="00D56204"/>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D56204"/>
  </w:style>
  <w:style w:type="character" w:styleId="ab">
    <w:name w:val="annotation reference"/>
    <w:uiPriority w:val="99"/>
    <w:unhideWhenUsed/>
    <w:qFormat/>
    <w:rsid w:val="00D56204"/>
    <w:rPr>
      <w:sz w:val="21"/>
      <w:szCs w:val="21"/>
    </w:rPr>
  </w:style>
  <w:style w:type="character" w:styleId="ac">
    <w:name w:val="footnote reference"/>
    <w:uiPriority w:val="99"/>
    <w:unhideWhenUsed/>
    <w:qFormat/>
    <w:rsid w:val="00D56204"/>
    <w:rPr>
      <w:vertAlign w:val="superscript"/>
    </w:rPr>
  </w:style>
  <w:style w:type="character" w:customStyle="1" w:styleId="Char1">
    <w:name w:val="批注框文本 Char"/>
    <w:link w:val="a5"/>
    <w:uiPriority w:val="99"/>
    <w:semiHidden/>
    <w:qFormat/>
    <w:rsid w:val="00D56204"/>
    <w:rPr>
      <w:kern w:val="2"/>
      <w:sz w:val="18"/>
      <w:szCs w:val="18"/>
    </w:rPr>
  </w:style>
  <w:style w:type="character" w:customStyle="1" w:styleId="Char3">
    <w:name w:val="页眉 Char"/>
    <w:link w:val="a7"/>
    <w:uiPriority w:val="99"/>
    <w:semiHidden/>
    <w:qFormat/>
    <w:locked/>
    <w:rsid w:val="00D56204"/>
    <w:rPr>
      <w:rFonts w:ascii="Times New Roman" w:hAnsi="Times New Roman" w:cs="Times New Roman" w:hint="default"/>
      <w:sz w:val="18"/>
      <w:szCs w:val="18"/>
    </w:rPr>
  </w:style>
  <w:style w:type="character" w:customStyle="1" w:styleId="Char">
    <w:name w:val="批注主题 Char"/>
    <w:link w:val="a3"/>
    <w:uiPriority w:val="99"/>
    <w:semiHidden/>
    <w:qFormat/>
    <w:rsid w:val="00D56204"/>
    <w:rPr>
      <w:b/>
      <w:bCs/>
      <w:kern w:val="2"/>
      <w:sz w:val="21"/>
      <w:szCs w:val="22"/>
    </w:rPr>
  </w:style>
  <w:style w:type="character" w:customStyle="1" w:styleId="Char2">
    <w:name w:val="页脚 Char"/>
    <w:link w:val="a6"/>
    <w:uiPriority w:val="99"/>
    <w:semiHidden/>
    <w:qFormat/>
    <w:locked/>
    <w:rsid w:val="00D56204"/>
    <w:rPr>
      <w:rFonts w:ascii="Times New Roman" w:hAnsi="Times New Roman" w:cs="Times New Roman" w:hint="default"/>
      <w:sz w:val="18"/>
      <w:szCs w:val="18"/>
    </w:rPr>
  </w:style>
  <w:style w:type="character" w:customStyle="1" w:styleId="Char0">
    <w:name w:val="批注文字 Char"/>
    <w:link w:val="a4"/>
    <w:uiPriority w:val="99"/>
    <w:qFormat/>
    <w:rsid w:val="00D56204"/>
    <w:rPr>
      <w:kern w:val="2"/>
      <w:sz w:val="21"/>
      <w:szCs w:val="22"/>
    </w:rPr>
  </w:style>
  <w:style w:type="paragraph" w:customStyle="1" w:styleId="zhongyaotishi">
    <w:name w:val="zhongyaotishi"/>
    <w:basedOn w:val="a"/>
    <w:qFormat/>
    <w:rsid w:val="00D5620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5620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5620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56204"/>
    <w:pPr>
      <w:widowControl w:val="0"/>
      <w:jc w:val="center"/>
    </w:pPr>
    <w:rPr>
      <w:kern w:val="2"/>
      <w:sz w:val="33"/>
      <w:szCs w:val="22"/>
    </w:rPr>
  </w:style>
  <w:style w:type="paragraph" w:customStyle="1" w:styleId="biaogeleft">
    <w:name w:val="biaoge_left"/>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5620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5620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5620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5620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56204"/>
    <w:pPr>
      <w:widowControl w:val="0"/>
    </w:pPr>
    <w:rPr>
      <w:kern w:val="2"/>
      <w:sz w:val="21"/>
      <w:szCs w:val="22"/>
    </w:rPr>
  </w:style>
  <w:style w:type="paragraph" w:customStyle="1" w:styleId="neirong">
    <w:name w:val="neirong"/>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D56204"/>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351</Words>
  <Characters>2002</Characters>
  <Application>Microsoft Office Word</Application>
  <DocSecurity>0</DocSecurity>
  <Lines>16</Lines>
  <Paragraphs>4</Paragraphs>
  <ScaleCrop>false</ScaleCrop>
  <Company>微软中国</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2023-04-26T11:20:00Z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