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南银理财珠联璧合日日聚宝现金管理类公募人民币理财产品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南银理财珠联璧合日日聚宝现金管理类公募人民币理财产品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16,235,585,944.49份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4,787,846,251.27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358,341,786.43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1,047,920,175.09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7,234,246,408.94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587,036,838.81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472,767,468.84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19,562,090.36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79,248,839.09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234,778,495.15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13,776,584.72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1,400,061,005.79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因素包括：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手工补息整改，推动资金出表，流动性分层明显缓解。虽然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进度整体慢于往年，而基建进度仍较慢，金融数据显示实体经济融资需求较弱，货币政策预计维持宽松基调。三季度基本面、供需关系对债市仍构成支撑，货币政策维持宽松仍提供了安全边际，利率预计维持震荡下行格局。</w:t>
        <w:br w:type="textWrapping" w:clear="all"/>
      </w:r>
      <w:r>
        <w:rPr>
          <w:rFonts w:hint="eastAsia" w:ascii="方正仿宋简体" w:eastAsia="方正仿宋简体"/>
          <w:sz w:val="24"/>
          <w:szCs w:val="24"/>
        </w:rPr>
        <w:t>  操作方面，本产品上半年整体保持偏积极的投资操作，抓住年初利率高点，积极参与存单及高等级短久期信用债投资，获取不错的票息收益。二季度加大存款投资力度，并灵活运用杠杆，在市场流动性整体偏宽松的环境下，增厚产品收益。未来拟继续坚持流动性，兼顾收益性的目标进行操作，保证流动性安全、信用风险可控的基础上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A22010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XJCKX202308150001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恒丰银行约期存款20230815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浦发银行约期存款20230919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XJCKX202308110001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浦发银行约期存款20230811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兴业银行约期存款20230712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XJCKX202308090001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浦发银行约期存款20230809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24民生银行CD235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498,115,233.98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农业银行安庆分行活期存款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493,055,316.66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112315345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23民生银行CD345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398,876,784.77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XJCKX202308180001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恒丰银行约期存款20230818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0120080000000329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南京银行日日聚宝</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产品与关联方作为交易对手开展的投融资业务交易金额2,110,000,000.00元。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产品支付关联方托管费851,315.80元，支付关联方代销费2,892,663.12元。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