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南银理财珠联璧合理财管理计划4号开放式公募人民币理财产品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南银理财珠联璧合理财管理计划4号开放式公募人民币理财产品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Z7003220000017（投资者可依据该编码在中国理财网www.chinawealth.com.cn查询理财产品相关信息）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2020年10月22日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6,190,756,839.22份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万家基金管理有限公司,天弘基金管理有限公司,太平资产管理有限公司,招商基金管理有限公司,鑫元基金管理有限公司,易方达基金管理有限公司,兴证全球基金管理有限公司,景顺长城基金管理有限公司,交银施罗德基金管理有限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5,549,063,102.57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1.1445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1.1445</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1,539,518,584.42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1.1466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1.1466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w:t>
        <w:br w:type="textWrapping" w:clear="all"/>
      </w:r>
      <w:r>
        <w:rPr>
          <w:rFonts w:hint="eastAsia" w:ascii="方正仿宋简体" w:eastAsia="方正仿宋简体"/>
          <w:sz w:val="24"/>
          <w:szCs w:val="24"/>
        </w:rPr>
        <w:t>  市场方面，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预计债市维持震荡偏强格局。后续投资策略上对信用债资产保持积极配置，久期中性，适度采用杠杆策略增厚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截至报告期末，本产品Z11005份额净值为1.1447元，Z11006份额净值为1.1467元。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500,728,333.33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462,504,485.80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1928021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19农业银行永续债01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301,005,600.00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1928018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19工商银行永续债</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230,476,790.00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DQCKX202405170003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032100633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21襄阳高新PPN002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151,633,800.00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150,307,005.29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006793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交银稳鑫短债债券A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148,910,736.39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1928031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19广发银行永续债</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120,721,080.00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1920076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19徽商银行永续债</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101,199,600.00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0120060000000472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南京银行理财管理计划4号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产品与关联方作为交易对手开展的投融资业务交易金额429,660,000.00元。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产品投资关联方作为管理人的资产管理产品交易金额99,998,000.00元。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产品支付关联方托管费309,704.74元，支付关联方代销费2,351,928.51元。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