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南银理财珠联璧合鑫悦享1908三个月定开公募人民币理财产品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南银理财珠联璧合鑫悦享1908三个月定开公募人民币理财产品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Z7003220000007（投资者可依据该编码在中国理财网www.chinawealth.com.cn查询理财产品相关信息）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2019年08月22日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4,205,265,256.76份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中粮信托有限责任公司,国投泰康信托有限公司,鑫沅资产管理有限公司,陆家嘴国际信托有限公司,中国人保资产管理有限公司,江苏省国际信托有限责任公司,光大永明资产管理股份有限公司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4,472,022,977.76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1.1061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1.2040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148,330,362.58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1.1065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1.1065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31,495,260.46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1.1124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1.1124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此背景下，对于合意的信用债资产保持积极配置。</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截至报告期末，本产品Z40001份额净值为1.1062元，Z41001份额净值为1.1066元，Z42001份额净值为1.1125元。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98.94%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854,135,764.76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319,935,948.52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XJCKX202403250001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农业银行安庆分行活期存款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280,469,166.66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031900835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19青山湖PPN001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100,454,000.00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100,032,538.73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162220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19南浔03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100,000,319.80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DQCKX202405130003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中国银行定期存款20240513D</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112415230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24民生银行CD230</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98,035,800.00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252747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23句容05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121720001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17紫金玄武PRN001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60,982,500.00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0120000000000314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南京银行鑫悦享1908三个月定开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产品支付关联方托管费242,717.80元，支付关联方代销费1,908,118.05元。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