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南银理财珠联璧合鑫悦享1912三个月定开公募人民币理财产品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南银理财珠联璧合鑫悦享1912三个月定开公募人民币理财产品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Z7003220000011（投资者可依据该编码在中国理财网www.chinawealth.com.cn查询理财产品相关信息）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2019年12月18日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3,975,348,403.23份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中粮信托有限责任公司,国投泰康信托有限公司,鑫沅资产管理有限公司,陆家嘴国际信托有限公司,江苏省国际信托有限责任公司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4,305,548,061.85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1.1058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1.1933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78,842,999.73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1.1061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Z42004</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11,795,190.42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1.1052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此背景下，对于合意的信用债资产保持积极配置。</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截至报告期末，本产品Z40004份额净值为1.1059元，Z41004份额净值为1.1062元，Z42004份额净值为1.1053元。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99.77%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96.33%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0.23%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1,702,238,571.82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360,060,217.53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XJCKX202406170005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浦发银行南京分行活期存款（约期）20240617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100,996,929.54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100,038,529.76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DQCKX202405130004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中国银行定期存款20240513E</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XJCKX202403250001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农业银行安庆分行活期存款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94,374,659.71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166441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20德建01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253326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23瀚控08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166277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20海陵01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0120040000000350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南京银行鑫悦享1912三个月定开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产品支付关联方托管费171,031.84元，支付关联方代销费1,344,454.89元。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