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南银理财珠联璧合日日聚宝现金管理类公募人民币理财产品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南银理财珠联璧合日日聚宝现金管理类公募人民币理财产品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15,042,590,265.04份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4,326,797,993.29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388,243,519.51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925,508,257.38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5,961,957,739.03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485,870,548.21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395,314,183.94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16,447,242.14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66,543,569.78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215,215,260.31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9,973,628.16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2,250,718,323.29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三季度，债券市场整体呈现先扬后抑的走势，7月和8月利率整体震荡下行，9月中下旬随着对货币和财政政策的预期升温和政策逐步落地，10Y国债收益率在迫近2%后开启反弹。三季度信用债相比利率债而言走势较弱，主要是由于在上半年利率下行的过程中，信用利差和等级利差均压至历史极低位置，在债市交易量锐减、流动性紧张后，信用债流动性弱的特征放大，因此在8月开始信用债便与利率走势有所分化，信用利差大幅走阔。</w:t>
        <w:br w:type="textWrapping" w:clear="all"/>
      </w:r>
      <w:r>
        <w:rPr>
          <w:rFonts w:hint="eastAsia" w:ascii="方正仿宋简体" w:eastAsia="方正仿宋简体"/>
          <w:sz w:val="24"/>
          <w:szCs w:val="24"/>
        </w:rPr>
        <w:t>  展望2024年四季度，市场整体风险偏好将有所变化，债券市场的波动也相应放大，但对债券市场并不悲观，从货币的角度来看，当前的经济基本面偏弱的格局并不支持货币政策出现转向，进一步降准降息值得期待，同时调整后的存单、短期信用债的配置性价比有所提升，可以关注调整后的机会。</w:t>
        <w:br w:type="textWrapping" w:clear="all"/>
      </w:r>
      <w:r>
        <w:rPr>
          <w:rFonts w:hint="eastAsia" w:ascii="方正仿宋简体" w:eastAsia="方正仿宋简体"/>
          <w:sz w:val="24"/>
          <w:szCs w:val="24"/>
        </w:rPr>
        <w:t>  操作方面，产品延续了稳健的投资风格，积极加大对存款、存单等高流动性资产的配置力度，不断优化资产结构。未来将继续在保证流动性安全、守住信用风险底线的基础上，强化资产获取能力，为客户提供稳定的收益回报，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  下阶段产品将继续保持稳健的投资风格，在风险可控的前提下灵活运用杠杆。同时关注市场各关键时点资金波动情况，做好流动性预判和资产到期分布安排，提前做好应对方案，防范流动性风险。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20002份额净值为1.0000元，A21002份额净值为1.0000元，A22001份额净值为1.0000元，A22002份额净值为1.0000元，A22004份额净值为1.0000元，A22005份额净值为1.0000元，A22006份额净值为1.0000元，A22007份额净值为1.0000元，A22008份额净值为1.0000元，A22009份额净值为1.0000元，A22010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XJCKX202408130001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恒丰银行约期存款20240813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XJCKX202409180002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兴业银行约期存款20240918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XJCKX202408190001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恒丰银行约期存款20240819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浦发银行南京分行活期存款（约期）20240711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浙商银行约期存款20240718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112415241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24民生银行CD241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298,819,144.25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112415252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24民生银行CD252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297,285,338.12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112415154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24民生银行CD154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296,789,243.90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112419137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24恒丰银行CD137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296,497,478.24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0120080000000329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南京银行日日聚宝</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产品投资于关联方承销的证券交易金额30,001,668.49元。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产品与关联方作为交易对手开展的投融资业务交易金额2,385,045,000.00元。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产品支付关联方托管费733,771.07元，支付关联方代销费2,555,899.99元。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