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南银理财珠联璧合理财管理计划4号开放式公募人民币理财产品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南银理财珠联璧合理财管理计划4号开放式公募人民币理财产品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4,934,997,426.53份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中粮信托有限责任公司,天弘基金管理有限公司,太平资产管理有限公司,平安基金管理有限公司,广发基金管理有限公司,招商基金管理有限公司,永赢基金管理有限公司,易方达基金管理有限公司,中国人保资产管理有限公司,景顺长城基金管理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4,615,074,427.91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1.1503</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1,063,992,982.40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1.1526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1.1526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  3季度，国内经济依然面对压力，地产投资继续下行，制造业投资也有所回落，PMI持续在荣枯线之下，核心CPI、PPI处于低位。9月美联储降息落地构成最大的外部变量，汇率压力显著缓解。</w:t>
        <w:br w:type="textWrapping" w:clear="all"/>
      </w:r>
      <w:r>
        <w:rPr>
          <w:rFonts w:hint="eastAsia" w:ascii="方正仿宋简体" w:eastAsia="方正仿宋简体"/>
          <w:sz w:val="24"/>
          <w:szCs w:val="24"/>
        </w:rPr>
        <w:t>  市场方面，以9月最后一周国内各部委释放稳增长信号为分水岭，风险偏好快速扭转。债券三季度整体先扬后抑，7月和8月利率债收益率整体震荡下行， 10Y国债收益率在迫近2%后开启反弹，反弹幅度达到20BP以上。在等级利差和信用利差压至历史极值的情况下的背景下，8月开始信用债便与利率走势有所分化，截至9月末，信用利差和期限利差多数走阔20bp以上。权益市场则在持续阴跌后，在最后一周开启快速拉升行情。</w:t>
        <w:br w:type="textWrapping" w:clear="all"/>
      </w:r>
      <w:r>
        <w:rPr>
          <w:rFonts w:hint="eastAsia" w:ascii="方正仿宋简体" w:eastAsia="方正仿宋简体"/>
          <w:sz w:val="24"/>
          <w:szCs w:val="24"/>
        </w:rPr>
        <w:t>  展望四季度，相对宽松的货币环境仍是大概率事件。虽然近期债券面临一定的调整压力，但对中短久期债券并不悲观，在调整中积极把握债券市场机会继续优化资产结构。转债等资产在经历最悲观的市场预期后，面临重新定价，结合财政政策情况和产品的风险预算，精选品种进行长期投资。</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截至报告期末，本产品Z11005份额净值为1.1503元，Z11006份额净值为1.1526元。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464,478,869.29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112404037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24中国银行CD037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196,216,400.00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150,781,468.04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032100633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21襄阳高新PPN002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150,742,650.00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101,862,231.59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ZJQTT202304250023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太平资产稳赢36号资管产品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100,488,545.50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1920076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19徽商银行永续债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100,461,500.00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032280241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22扬州经开PPN001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100,447,800.00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22栖霞山PPN001(项目收益)</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100,369,400.00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0120060000000472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产品支付关联方托管费358,495.28元，支付关联方代销费2,726,499.92元。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