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南银理财珠联璧合行稳一年定开1M公募人民币理财产品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南银理财珠联璧合行稳一年定开1M公募人民币理财产品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2019年01月09日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3,714,891,257.43份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华鑫国际信托有限公司,国联基金管理有限公司,国通信托有限责任公司,广东粤财信托有限公司,招商基金管理有限公司,百瑞信托有限责任公司,南方基金管理股份有限公司,江苏省国际信托有限责任公司,陕西省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3,796,782,603.71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1.2983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行稳一年定开产品，今年三季度以来产品操作风格稳健，三季度债券市场波动放大，资金利率边际小幅走高，利率债、存单、信用债等向下突破后出现一定回调，信用债信用利差、以及各品种利差开始走阔，债市在下至较低位置后迎来阶段性调整，风险也得一定的缓释。三季度产品运作过程中操作边际转向中性，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989,210,341.70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400,738,220.00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陕国投.星石2332064号无锡惠山高科集合资金信托计划（第1期-行稳一年定开1M）</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285,986,797.60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国通信托·南盈建投集合资金信托计划第1期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270,580,767.30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205,641,241.70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200,381,020.00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150,258,604.50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140,182,655.20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102,121,970.42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XTDKX202408010041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射阳城市建设发展集团有限公司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粤财信托·瑞兴93号集合资金信托计划第2期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国通信托·南盈建投集合资金信托计划第1期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无锡惠山高科集团有限公司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陕国投.星石2332064号无锡惠山高科集合资金信托计划（第1期-行稳一年定开1M）</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国通信托.陶都产发集合资金信托计划（第1期）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华鑫信托·嘉盈和颜68号集合资金信托计划（第5期）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宜兴市陶都城镇化建设发展有限公司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0120060000000226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南京银行行稳一年定开1M</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产品投资于关联方承销的证券交易金额50,002,671.23元。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产品支付关联方托管费187,271.52元，支付关联方代销费1,810,817.08元。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