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南银理财珠联璧合鑫悦享月月盈公募人民币理财产品</w:t>
      </w: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2024年第3季度报告</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产品管理人:南银理财有限责任公司</w:t>
      </w: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产品托管人:南京银行股份有限公司</w:t>
      </w:r>
    </w:p>
    <w:p>
      <w:pPr>
        <w:spacing w:before="240" w:after="72" w:line="360" w:lineRule="auto"/>
        <w:rPr>
          <w:rFonts w:ascii="方正黑体简体" w:eastAsia="方正黑体简体"/>
          <w:sz w:val="36"/>
          <w:szCs w:val="36"/>
        </w:rPr>
      </w:pPr>
    </w:p>
    <w:p>
      <w:pPr>
        <w:spacing w:before="240" w:after="72" w:line="360" w:lineRule="auto"/>
        <w:rPr>
          <w:rFonts w:ascii="方正黑体简体" w:eastAsia="方正黑体简体"/>
          <w:sz w:val="36"/>
          <w:szCs w:val="36"/>
        </w:rPr>
      </w:pPr>
    </w:p>
    <w:p>
      <w:pPr>
        <w:widowControl/>
        <w:spacing w:before="240" w:afterLines="0" w:line="360" w:lineRule="auto"/>
        <w:jc w:val="left"/>
        <w:rPr>
          <w:rFonts w:ascii="方正仿宋_GBK" w:hAnsi="Calibri" w:eastAsia="方正仿宋_GBK"/>
          <w:b/>
        </w:rPr>
      </w:pPr>
      <w:r>
        <w:rPr>
          <w:rFonts w:ascii="方正仿宋_GBK" w:hAnsi="Calibri" w:eastAsia="方正仿宋_GBK"/>
          <w:b/>
        </w:rPr>
        <w:br w:type="page"/>
      </w: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§1 产品概况</w:t>
      </w:r>
    </w:p>
    <w:tbl>
      <w:tblPr>
        <w:tblStyle w:val="7"/>
        <w:tblpPr w:leftFromText="180" w:rightFromText="180" w:vertAnchor="text" w:tblpY="1"/>
        <w:tblOverlap w:val="never"/>
        <w:tblW w:w="889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719"/>
        <w:gridCol w:w="61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产品全称</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南银理财珠联璧合鑫悦享月月盈公募人民币理财产品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00"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产品登记编码</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Z7003220000010（投资者可依据该编码在中国理财网www.chinawealth.com.cn查询理财产品相关信息）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产品运作方式</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开放式净值型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产品成立日</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2019年09月26日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报告期末产品份额总额</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2,956,435,411.11份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8"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合作机构</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中粮信托有限责任公司,华鑫证券有限责任公司,国投泰康信托有限公司,鑫元基金管理有限公司,鑫沅资产管理有限公司,江苏省国际信托有限责任公司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产品管理人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产品托管人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南京银行股份有限公司</w:t>
            </w:r>
          </w:p>
        </w:tc>
      </w:tr>
    </w:tbl>
    <w:p>
      <w:pPr>
        <w:spacing w:before="240" w:after="72" w:line="360" w:lineRule="auto"/>
        <w:rPr>
          <w:rFonts w:ascii="方正仿宋_GBK" w:hAnsi="宋体" w:eastAsia="方正仿宋_GBK" w:cs="宋体"/>
          <w:kern w:val="0"/>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§2  主要财务指标</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2.1 主要财务指标</w:t>
      </w:r>
    </w:p>
    <w:p>
      <w:pPr>
        <w:spacing w:before="240" w:after="72" w:line="360" w:lineRule="auto"/>
        <w:jc w:val="right"/>
        <w:rPr>
          <w:rFonts w:ascii="方正仿宋简体" w:eastAsia="方正仿宋简体"/>
          <w:sz w:val="24"/>
          <w:szCs w:val="24"/>
        </w:rPr>
      </w:pPr>
      <w:r>
        <w:rPr>
          <w:rFonts w:hint="eastAsia" w:ascii="方正仿宋简体" w:eastAsia="方正仿宋简体"/>
          <w:sz w:val="24"/>
          <w:szCs w:val="24"/>
        </w:rPr>
        <w:t>单位：人民币元</w:t>
      </w:r>
    </w:p>
    <w:tbl>
      <w:tblPr>
        <w:tblStyle w:val="7"/>
        <w:tblpPr w:leftFromText="180" w:rightFromText="180" w:vertAnchor="text" w:tblpXSpec="center" w:tblpY="1"/>
        <w:tblOverlap w:val="never"/>
        <w:tblW w:w="906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1838"/>
        <w:gridCol w:w="2693"/>
        <w:gridCol w:w="2410"/>
        <w:gridCol w:w="21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99" w:hRule="atLeast"/>
          <w:jc w:val="center"/>
        </w:trPr>
        <w:tc>
          <w:tcPr>
            <w:tcW w:w="1838" w:type="dxa"/>
            <w:vMerge w:val="restart"/>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内部销售代码</w:t>
            </w:r>
          </w:p>
        </w:tc>
        <w:tc>
          <w:tcPr>
            <w:tcW w:w="7229" w:type="dxa"/>
            <w:gridSpan w:val="3"/>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报告期（2024年07月01日 - 2024年09月30日）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697" w:hRule="atLeast"/>
          <w:jc w:val="center"/>
        </w:trPr>
        <w:tc>
          <w:tcPr>
            <w:tcW w:w="1838" w:type="dxa"/>
            <w:vMerge w:val="continue"/>
            <w:vAlign w:val="center"/>
          </w:tcPr>
          <w:p>
            <w:pPr>
              <w:spacing w:before="48" w:beforeLines="20" w:after="48" w:afterLines="20"/>
              <w:jc w:val="center"/>
              <w:rPr>
                <w:rFonts w:ascii="方正仿宋简体" w:eastAsia="方正仿宋简体"/>
                <w:sz w:val="24"/>
                <w:szCs w:val="24"/>
              </w:rPr>
            </w:pPr>
          </w:p>
        </w:tc>
        <w:tc>
          <w:tcPr>
            <w:tcW w:w="269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1.期末产品最后一个市场交易日资产净值</w:t>
            </w:r>
          </w:p>
        </w:tc>
        <w:tc>
          <w:tcPr>
            <w:tcW w:w="241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2.期末产品最后一个市场交易日份额净值</w:t>
            </w:r>
          </w:p>
        </w:tc>
        <w:tc>
          <w:tcPr>
            <w:tcW w:w="212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3.期末产品最后一个市场交易日份额累计净值</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Z40002</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3,081,055,905.57</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1.0970</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1.1891</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Z40007</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21,111,201.07</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1.1037</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1.1308</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Z41002</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141,318,103.38</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1.0975</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1.0975</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Z42002</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30,665.11</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1.0959</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1.0959</w:t>
            </w:r>
          </w:p>
        </w:tc>
      </w:tr>
    </w:tbl>
    <w:p>
      <w:pPr>
        <w:pStyle w:val="10"/>
        <w:spacing w:before="240" w:after="72" w:line="360" w:lineRule="auto"/>
        <w:ind w:left="0"/>
        <w:rPr>
          <w:rFonts w:ascii="方正仿宋简体" w:hAnsi="Times New Roman" w:eastAsia="方正仿宋简体" w:cs="Times New Roman"/>
          <w:kern w:val="2"/>
        </w:rPr>
      </w:pPr>
      <w:r>
        <w:rPr>
          <w:rFonts w:hint="eastAsia" w:ascii="方正仿宋简体" w:hAnsi="Times New Roman" w:eastAsia="方正仿宋简体" w:cs="Times New Roman"/>
          <w:kern w:val="2"/>
        </w:rPr>
        <w:t>注：产品净值可能存在未扣除管理人及投资合作机构业绩报酬、赎回费等费用（如有）的情况，实际收益以兑付为准。</w:t>
      </w:r>
    </w:p>
    <w:p>
      <w:pPr>
        <w:spacing w:before="240" w:after="72" w:line="360" w:lineRule="auto"/>
        <w:rPr>
          <w:rFonts w:ascii="方正仿宋_GBK"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§3  管理人报告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3.1 报告期内产品的投资策略和运作分析</w:t>
      </w:r>
    </w:p>
    <w:p>
      <w:pPr>
        <w:spacing w:before="240" w:after="72" w:line="360" w:lineRule="auto"/>
        <w:rPr>
          <w:rFonts w:ascii="方正仿宋简体" w:eastAsia="方正仿宋简体"/>
          <w:sz w:val="24"/>
          <w:szCs w:val="24"/>
        </w:rPr>
      </w:pPr>
      <w:r>
        <w:rPr>
          <w:rFonts w:hint="eastAsia" w:ascii="方正仿宋简体" w:eastAsia="方正仿宋简体"/>
          <w:sz w:val="24"/>
          <w:szCs w:val="24"/>
        </w:rPr>
        <w:t>  2024年3季度，债券市场整体呈现先扬后抑的走势，7月和8月利率整体震荡下行，9月中下旬随着对央行和财政政策的预期逐步升温，10Y国债收益率在迫近2%后开启反弹，反弹幅度达到20BP以上，三季度信用债相比利率债而言，走势相对较弱，主要是由于在上半年利率下行的过程中，等级利差和信用利差均压至历史极低位置，因此在8月开始信用债便开始与利率走势有所分化，截至9月末，信用利差和期限利差多数走阔20bp以上，回到相对合理的位置。</w:t>
        <w:br w:type="textWrapping" w:clear="all"/>
      </w:r>
      <w:r>
        <w:rPr>
          <w:rFonts w:hint="eastAsia" w:ascii="方正仿宋简体" w:eastAsia="方正仿宋简体"/>
          <w:sz w:val="24"/>
          <w:szCs w:val="24"/>
        </w:rPr>
        <w:t>  展望四季度，对债券市场并不悲观，从货币的角度来看，当前的经济基本面偏弱的格局并不支持货币政策出现转向，进一步降准降息值得期待，在品种上，可以关注一些存单和短期信用债调整后的机会，同时在阶段性也可以关注长端利率债的交易机会。</w:t>
        <w:br w:type="textWrapping" w:clear="all"/>
      </w:r>
      <w:r>
        <w:rPr>
          <w:rFonts w:hint="eastAsia" w:ascii="方正仿宋简体" w:eastAsia="方正仿宋简体"/>
          <w:sz w:val="24"/>
          <w:szCs w:val="24"/>
        </w:rPr>
        <w:t>  产品始终围绕稳健回报的收益目标进行操作，通过持有信用资质较好、绝对收益相对较高的江浙等发达省市信用债作为底仓，获取稳定可靠的票息收益；同时增加同业存单、存款等高流动性资产仓位保证流动性安全。基于对后市的判断，产品将灵活调整杠杆与久期，实现产品净值在合理区间内保持相对稳定；同时加强市场与品种研判，在控制好风险的前提下博取超额收益。</w:t>
      </w:r>
      <w:r>
        <w:rPr>
          <w:rFonts w:hint="eastAsia" w:ascii="方正仿宋简体" w:eastAsia="方正仿宋简体"/>
          <w:sz w:val="24"/>
          <w:szCs w:val="24"/>
        </w:rPr>
        <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3.2 报告期内产品的流动性风险分析</w:t>
      </w:r>
    </w:p>
    <w:p>
      <w:pPr>
        <w:spacing w:before="240" w:after="72" w:line="360" w:lineRule="auto"/>
        <w:rPr>
          <w:rFonts w:ascii="方正仿宋简体" w:eastAsia="方正仿宋简体"/>
          <w:sz w:val="24"/>
          <w:szCs w:val="24"/>
        </w:rPr>
      </w:pPr>
      <w:r>
        <w:rPr>
          <w:rFonts w:ascii="方正仿宋简体" w:eastAsia="方正仿宋简体"/>
          <w:sz w:val="24"/>
          <w:szCs w:val="24"/>
        </w:rPr>
        <w:t>  产品投资运作稳健，资产结构保持较高的流动性水平，平稳度过市场各关键时点。下阶段，产品将继续维持合理的流动性资产比例，做好负债端现金流的跟踪与研判，适度拉长杠杆融资期限，控制产品流动性风险。</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3.3 报告期内产品的业绩表现</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截至报告期末，本产品Z40002份额净值为1.0970元，Z40007份额净值为1.1037元，Z41002份额净值为1.0975元，Z42002份额净值为1.0959元。</w:t>
      </w:r>
    </w:p>
    <w:p>
      <w:pPr>
        <w:spacing w:before="240" w:after="72" w:line="360" w:lineRule="auto"/>
        <w:rPr>
          <w:rFonts w:ascii="方正仿宋_GBK" w:hAnsi="宋体"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§4  投资组合报告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4.1 报告期末产品资产组合情况</w:t>
      </w:r>
    </w:p>
    <w:tbl>
      <w:tblPr>
        <w:tblStyle w:val="7"/>
        <w:tblpPr w:leftFromText="180" w:rightFromText="180" w:vertAnchor="text" w:tblpXSpec="center" w:tblpY="1"/>
        <w:tblOverlap w:val="never"/>
        <w:tblW w:w="889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45"/>
        <w:gridCol w:w="1859"/>
        <w:gridCol w:w="3002"/>
        <w:gridCol w:w="32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资产类别</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穿透前占总资产比例</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穿透后占总资产比例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固定收益类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权益类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商品及金融衍生品类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4</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混合类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5</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合计</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bl>
    <w:p>
      <w:pPr>
        <w:spacing w:before="240" w:after="72" w:line="360" w:lineRule="auto"/>
        <w:rPr>
          <w:rFonts w:ascii="方正仿宋_GBK" w:eastAsia="方正仿宋_GBK"/>
          <w:sz w:val="24"/>
          <w:szCs w:val="24"/>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4.2 报告期末按公允价值占产品资产净值比例大小排序的前十名资产投资明细</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50"/>
        <w:gridCol w:w="1581"/>
        <w:gridCol w:w="2712"/>
        <w:gridCol w:w="2052"/>
        <w:gridCol w:w="18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33" w:hRule="atLeast"/>
          <w:jc w:val="center"/>
        </w:trPr>
        <w:tc>
          <w:tcPr>
            <w:tcW w:w="75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58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代码</w:t>
            </w:r>
          </w:p>
        </w:tc>
        <w:tc>
          <w:tcPr>
            <w:tcW w:w="271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名称</w:t>
            </w:r>
          </w:p>
        </w:tc>
        <w:tc>
          <w:tcPr>
            <w:tcW w:w="205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公允价值（元）</w:t>
            </w:r>
          </w:p>
        </w:tc>
        <w:tc>
          <w:tcPr>
            <w:tcW w:w="180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占产品资产净值比例（％）</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ZJQTT202311080001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国投泰康信托福佳1号集合资金信托计划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530,879,913.09</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16.37</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ZJQTT202202160001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鑫元基金-鑫安利得57号集合资产管理计划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105,328,598.63</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3.25</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DQCKX202405090001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中国银行定期存款20240509A</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100,000,000.00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3.08</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162394</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19惠投02</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99,811,509.79</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3.08</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XJCKX202306070001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建设银行深圳分行活期存款</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99,273,416.68</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3.06</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112409174</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24浦发银行CD174</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98,086,900.00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3.02</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112409164</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24浦发银行CD164</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98,074,000.00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3.02</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ZJQTT202204260021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江苏信托南银1号集合资金信托计划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96,663,425.66</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2.98</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XJCKX202404150001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农业银行深圳分行活期存款</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87,190,834.05</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2.69</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196284</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22宁玄01</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80,000,000.00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2.47</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4.3报告期末非标准化债权类资产明细</w:t>
      </w:r>
    </w:p>
    <w:tbl>
      <w:tblPr>
        <w:tblStyle w:val="7"/>
        <w:tblpPr w:leftFromText="180" w:rightFromText="180" w:vertAnchor="text" w:tblpXSpec="center" w:tblpY="1"/>
        <w:tblOverlap w:val="never"/>
        <w:tblW w:w="892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77"/>
        <w:gridCol w:w="1704"/>
        <w:gridCol w:w="1275"/>
        <w:gridCol w:w="1540"/>
        <w:gridCol w:w="1383"/>
        <w:gridCol w:w="1271"/>
        <w:gridCol w:w="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78" w:hRule="atLeast"/>
          <w:jc w:val="center"/>
        </w:trPr>
        <w:tc>
          <w:tcPr>
            <w:tcW w:w="87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704"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融资客户</w:t>
            </w:r>
          </w:p>
        </w:tc>
        <w:tc>
          <w:tcPr>
            <w:tcW w:w="1275"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项目名称</w:t>
            </w:r>
          </w:p>
        </w:tc>
        <w:tc>
          <w:tcPr>
            <w:tcW w:w="154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剩余融资期限（</w:t>
            </w:r>
            <w:r>
              <w:rPr>
                <w:rFonts w:ascii="方正仿宋简体" w:eastAsia="方正仿宋简体"/>
                <w:sz w:val="24"/>
                <w:szCs w:val="24"/>
              </w:rPr>
              <w:t>天）</w:t>
            </w:r>
          </w:p>
        </w:tc>
        <w:tc>
          <w:tcPr>
            <w:tcW w:w="13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到期收益分配</w:t>
            </w:r>
          </w:p>
        </w:tc>
        <w:tc>
          <w:tcPr>
            <w:tcW w:w="127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交易结构</w:t>
            </w:r>
          </w:p>
        </w:tc>
        <w:tc>
          <w:tcPr>
            <w:tcW w:w="87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风险状况</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§5 投资账户信息</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46"/>
        <w:gridCol w:w="1417"/>
        <w:gridCol w:w="2668"/>
        <w:gridCol w:w="1983"/>
        <w:gridCol w:w="19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4" w:hRule="atLeast"/>
          <w:jc w:val="center"/>
        </w:trPr>
        <w:tc>
          <w:tcPr>
            <w:tcW w:w="84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41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账户类型</w:t>
            </w:r>
          </w:p>
        </w:tc>
        <w:tc>
          <w:tcPr>
            <w:tcW w:w="266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账号</w:t>
            </w:r>
          </w:p>
        </w:tc>
        <w:tc>
          <w:tcPr>
            <w:tcW w:w="19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账户名称</w:t>
            </w:r>
          </w:p>
        </w:tc>
        <w:tc>
          <w:tcPr>
            <w:tcW w:w="198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开户单位</w:t>
            </w:r>
          </w:p>
        </w:tc>
      </w:tr>
      <w:tr>
        <w:trPr>
          <w:trHeight w:val="584" w:hRule="atLeast"/>
          <w:jc w:val="center"/>
        </w:trPr>
        <w:tc>
          <w:tcPr>
            <w:tcW w:w="84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41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0120040000000331</w:t>
            </w:r>
          </w:p>
        </w:tc>
        <w:tc>
          <w:tcPr>
            <w:tcW w:w="19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南京银行鑫悦享月月盈</w:t>
            </w:r>
          </w:p>
        </w:tc>
        <w:tc>
          <w:tcPr>
            <w:tcW w:w="198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pPr>
        <w:spacing w:afterLines="0" w:line="360" w:lineRule="auto"/>
        <w:rPr>
          <w:rFonts w:ascii="方正仿宋_GBK" w:eastAsia="方正仿宋_GBK"/>
          <w:sz w:val="24"/>
          <w:szCs w:val="24"/>
        </w:rPr>
      </w:pPr>
    </w:p>
    <w:p>
      <w:pPr>
        <w:spacing w:before="240" w:after="72" w:line="360" w:lineRule="auto"/>
        <w:jc w:val="center"/>
        <w:rPr>
          <w:rFonts w:ascii="方正仿宋_GBK" w:eastAsia="方正仿宋_GBK"/>
          <w:b/>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§6 关联交易情况</w:t>
      </w:r>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报告期内，</w:t>
      </w:r>
      <w:r>
        <w:rPr>
          <w:rFonts w:hint="eastAsia" w:ascii="方正仿宋简体" w:hAnsi="宋体" w:eastAsia="方正仿宋简体" w:cs="宋体"/>
          <w:color w:val="000000"/>
          <w:kern w:val="0"/>
          <w:sz w:val="24"/>
          <w:szCs w:val="24"/>
        </w:rPr>
        <w:t>产品投资于关联方发行</w:t>
      </w:r>
      <w:r>
        <w:rPr>
          <w:rFonts w:hint="eastAsia" w:ascii="方正仿宋简体" w:hAnsi="宋体" w:eastAsia="方正仿宋简体" w:cs="宋体"/>
          <w:color w:val="000000"/>
          <w:kern w:val="0"/>
          <w:sz w:val="24"/>
          <w:szCs w:val="24"/>
          <w:lang w:eastAsia="zh-CN"/>
        </w:rPr>
        <w:t>的</w:t>
      </w:r>
      <w:r>
        <w:rPr>
          <w:rFonts w:hint="eastAsia" w:ascii="方正仿宋简体" w:hAnsi="宋体" w:eastAsia="方正仿宋简体" w:cs="宋体"/>
          <w:color w:val="000000"/>
          <w:kern w:val="0"/>
          <w:sz w:val="24"/>
          <w:szCs w:val="24"/>
        </w:rPr>
        <w:t>证券</w:t>
      </w:r>
      <w:r>
        <w:rPr>
          <w:rFonts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lang w:val="en-US" w:eastAsia="zh-CN"/>
        </w:rPr>
        <w:t/>
      </w:r>
      <w:r>
        <w:rPr>
          <w:rFonts w:ascii="方正仿宋简体" w:hAnsi="宋体" w:eastAsia="方正仿宋简体" w:cs="宋体"/>
          <w:color w:val="000000"/>
          <w:kern w:val="0"/>
          <w:sz w:val="24"/>
          <w:szCs w:val="24"/>
        </w:rPr>
        <w:t>0.00</w:t>
      </w:r>
      <w:r>
        <w:rPr>
          <w:rFonts w:hint="eastAsia" w:ascii="方正仿宋简体" w:hAnsi="宋体" w:eastAsia="方正仿宋简体" w:cs="宋体"/>
          <w:color w:val="000000"/>
          <w:kern w:val="0"/>
          <w:sz w:val="24"/>
          <w:szCs w:val="24"/>
        </w:rPr>
        <w:t>元。</w:t>
      </w:r>
      <w:bookmarkStart w:id="0" w:name="_GoBack"/>
      <w:bookmarkEnd w:id="0"/>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产品投资于关联方作为融资人的非标准化债权类资产业务交易金额0.00元。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产品投资于关联方承销的证券交易金额0.00元。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产品与关联方作为交易对手开展的投融资业务交易金额0.00元。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产品投资关联方作为管理人的资产管理产品交易金额105,000,000.00元。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产品支付关联方托管费180,341.23元，支付关联方代销费1,354,241.64元。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产品发生其他关联交易金额0.00元。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报告期内，产品未发生重大关联交易。</w:t>
      </w:r>
    </w:p>
    <w:p>
      <w:pPr>
        <w:spacing w:before="240" w:after="72" w:line="360" w:lineRule="auto"/>
        <w:rPr>
          <w:rFonts w:ascii="方正仿宋_GBK" w:hAnsi="宋体" w:eastAsia="方正仿宋_GBK" w:cs="宋体"/>
          <w:kern w:val="0"/>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jc w:val="right"/>
        <w:rPr>
          <w:rFonts w:ascii="方正仿宋_GBK" w:eastAsia="方正仿宋_GBK"/>
          <w:b/>
          <w:sz w:val="24"/>
          <w:szCs w:val="24"/>
        </w:rPr>
      </w:pP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南银理财有限责任公司</w:t>
      </w: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2024年09月30日</w:t>
      </w:r>
    </w:p>
    <w:p>
      <w:pPr>
        <w:spacing w:before="240" w:after="72" w:line="360" w:lineRule="auto"/>
        <w:rPr>
          <w:rFonts w:ascii="方正仿宋_GBK" w:eastAsia="方正仿宋_GBK"/>
          <w:sz w:val="24"/>
          <w:szCs w:val="24"/>
        </w:rPr>
      </w:pPr>
    </w:p>
    <w:p>
      <w:pPr>
        <w:spacing w:before="240" w:after="72" w:line="360" w:lineRule="auto"/>
        <w:rPr>
          <w:rFonts w:ascii="方正仿宋_GBK" w:eastAsia="方正仿宋_GBK"/>
          <w:sz w:val="24"/>
          <w:szCs w:val="24"/>
        </w:rPr>
      </w:pPr>
    </w:p>
    <w:sectPr>
      <w:headerReference r:id="rId5" w:type="first"/>
      <w:footerReference r:id="rId8" w:type="first"/>
      <w:headerReference r:id="rId3" w:type="default"/>
      <w:footerReference r:id="rId6" w:type="default"/>
      <w:headerReference r:id="rId4" w:type="even"/>
      <w:footerReference r:id="rId7" w:type="even"/>
      <w:pgSz w:w="11926" w:h="16867"/>
      <w:pgMar w:top="1418" w:right="1418" w:bottom="853" w:left="1418" w:header="851" w:footer="992" w:gutter="0"/>
      <w:cols w:space="72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方正黑体简体">
    <w:altName w:val="微软雅黑"/>
    <w:panose1 w:val="00000000000000000000"/>
    <w:charset w:val="86"/>
    <w:family w:val="script"/>
    <w:pitch w:val="default"/>
    <w:sig w:usb0="00000000" w:usb1="00000000" w:usb2="00000010" w:usb3="00000000" w:csb0="00040000" w:csb1="00000000"/>
  </w:font>
  <w:font w:name="方正仿宋简体">
    <w:altName w:val="Arial Unicode MS"/>
    <w:panose1 w:val="00000000000000000000"/>
    <w:charset w:val="86"/>
    <w:family w:val="script"/>
    <w:pitch w:val="default"/>
    <w:sig w:usb0="00000000" w:usb1="00000000" w:usb2="00000010" w:usb3="00000000" w:csb0="00040000" w:csb1="00000000"/>
  </w:font>
  <w:font w:name="方正仿宋_GBK">
    <w:altName w:val="Arial Unicode MS"/>
    <w:panose1 w:val="00000000000000000000"/>
    <w:charset w:val="86"/>
    <w:family w:val="script"/>
    <w:pitch w:val="default"/>
    <w:sig w:usb0="00000000" w:usb1="00000000" w:usb2="00000010" w:usb3="00000000" w:csb0="00040000" w:csb1="00000000"/>
  </w:font>
  <w:font w:name="Calibri Light">
    <w:panose1 w:val="020F0302020204030204"/>
    <w:charset w:val="00"/>
    <w:family w:val="swiss"/>
    <w:pitch w:val="default"/>
    <w:sig w:usb0="A00002EF" w:usb1="4000207B" w:usb2="00000000" w:usb3="00000000" w:csb0="2000019F" w:csb1="00000000"/>
  </w:font>
  <w:font w:name="微软雅黑">
    <w:panose1 w:val="020B0503020204020204"/>
    <w:charset w:val="86"/>
    <w:family w:val="auto"/>
    <w:pitch w:val="default"/>
    <w:sig w:usb0="80000287" w:usb1="280F3C52" w:usb2="00000016" w:usb3="00000000" w:csb0="0004001F" w:csb1="00000000"/>
  </w:font>
  <w:font w:name="Arial Unicode MS">
    <w:panose1 w:val="020B0604020202020204"/>
    <w:charset w:val="86"/>
    <w:family w:val="auto"/>
    <w:pitch w:val="default"/>
    <w:sig w:usb0="FFFFFFFF" w:usb1="E9FFFFFF" w:usb2="0000003F" w:usb3="00000000" w:csb0="603F01FF" w:csb1="FFFF0000"/>
  </w:font>
  <w:font w:name="方正仿宋简体">
    <w:altName w:val="Arial Unicode MS"/>
    <w:panose1 w:val="00000000000000000000"/>
    <w:charset w:val="00"/>
    <w:family w:val="auto"/>
    <w:pitch w:val="default"/>
    <w:sig w:usb0="00000000" w:usb1="00000000" w:usb2="00000000" w:usb3="00000000" w:csb0="00000000" w:csb1="00000000"/>
  </w:font>
  <w:font w:name="Arial">
    <w:panose1 w:val="020B0604020202020204"/>
    <w:charset w:val="00"/>
    <w:family w:val="swiss"/>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spacing w:after="72"/>
      <w:rPr>
        <w:rStyle w:val="6"/>
      </w:rPr>
    </w:pPr>
    <w:r>
      <w:fldChar w:fldCharType="begin"/>
    </w:r>
    <w:r>
      <w:rPr>
        <w:rStyle w:val="6"/>
      </w:rPr>
      <w:instrText xml:space="preserve">PAGE  </w:instrText>
    </w:r>
    <w:r>
      <w:fldChar w:fldCharType="end"/>
    </w:r>
  </w:p>
  <w:p>
    <w:pPr>
      <w:pStyle w:val="2"/>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WYyNWQ5MDZiYWM3OWVhN2E1ZmU3ZDVmOTg3Nzk4MzgifQ=="/>
  </w:docVars>
  <w:rsids>
    <w:rsidRoot w:val="005A7904"/>
    <w:rsid w:val="00012CAC"/>
    <w:rsid w:val="00041771"/>
    <w:rsid w:val="000532CC"/>
    <w:rsid w:val="00063EA9"/>
    <w:rsid w:val="00072345"/>
    <w:rsid w:val="00072AD4"/>
    <w:rsid w:val="00074655"/>
    <w:rsid w:val="00075628"/>
    <w:rsid w:val="0007673D"/>
    <w:rsid w:val="000C0CDF"/>
    <w:rsid w:val="00103A35"/>
    <w:rsid w:val="001129D2"/>
    <w:rsid w:val="00137120"/>
    <w:rsid w:val="00142497"/>
    <w:rsid w:val="0018311F"/>
    <w:rsid w:val="00201F77"/>
    <w:rsid w:val="00232109"/>
    <w:rsid w:val="00232DB0"/>
    <w:rsid w:val="002344B0"/>
    <w:rsid w:val="00244B70"/>
    <w:rsid w:val="002624BA"/>
    <w:rsid w:val="00262B4B"/>
    <w:rsid w:val="002867ED"/>
    <w:rsid w:val="002A2BCE"/>
    <w:rsid w:val="002A5314"/>
    <w:rsid w:val="002B165D"/>
    <w:rsid w:val="002E3543"/>
    <w:rsid w:val="002E5873"/>
    <w:rsid w:val="002F5C12"/>
    <w:rsid w:val="0031044B"/>
    <w:rsid w:val="00320EE0"/>
    <w:rsid w:val="0032248B"/>
    <w:rsid w:val="00327DCA"/>
    <w:rsid w:val="0034437E"/>
    <w:rsid w:val="00375C09"/>
    <w:rsid w:val="003956D3"/>
    <w:rsid w:val="003B2C2B"/>
    <w:rsid w:val="003C00A0"/>
    <w:rsid w:val="003D3C54"/>
    <w:rsid w:val="003F013A"/>
    <w:rsid w:val="0040415E"/>
    <w:rsid w:val="00414B37"/>
    <w:rsid w:val="00427D95"/>
    <w:rsid w:val="00432880"/>
    <w:rsid w:val="00451C56"/>
    <w:rsid w:val="004601C9"/>
    <w:rsid w:val="004633DF"/>
    <w:rsid w:val="004822D3"/>
    <w:rsid w:val="00486D6C"/>
    <w:rsid w:val="00494CBA"/>
    <w:rsid w:val="004B750B"/>
    <w:rsid w:val="004D15C6"/>
    <w:rsid w:val="004E5012"/>
    <w:rsid w:val="004F595C"/>
    <w:rsid w:val="00503A1E"/>
    <w:rsid w:val="00505062"/>
    <w:rsid w:val="005117FF"/>
    <w:rsid w:val="0052308E"/>
    <w:rsid w:val="00524B4A"/>
    <w:rsid w:val="00531855"/>
    <w:rsid w:val="00537A01"/>
    <w:rsid w:val="0055573F"/>
    <w:rsid w:val="00573EE2"/>
    <w:rsid w:val="00595C46"/>
    <w:rsid w:val="005A7904"/>
    <w:rsid w:val="005B5E17"/>
    <w:rsid w:val="005C595B"/>
    <w:rsid w:val="005C763A"/>
    <w:rsid w:val="005D04CF"/>
    <w:rsid w:val="005F4A24"/>
    <w:rsid w:val="006143B7"/>
    <w:rsid w:val="00624BF8"/>
    <w:rsid w:val="00631F68"/>
    <w:rsid w:val="00640498"/>
    <w:rsid w:val="00642207"/>
    <w:rsid w:val="00643B36"/>
    <w:rsid w:val="00650C13"/>
    <w:rsid w:val="00656546"/>
    <w:rsid w:val="00675A8D"/>
    <w:rsid w:val="00676A68"/>
    <w:rsid w:val="00676EE8"/>
    <w:rsid w:val="0068398A"/>
    <w:rsid w:val="0068509B"/>
    <w:rsid w:val="00695491"/>
    <w:rsid w:val="006C7930"/>
    <w:rsid w:val="006D1D83"/>
    <w:rsid w:val="006E3DA2"/>
    <w:rsid w:val="00704BBE"/>
    <w:rsid w:val="007120E8"/>
    <w:rsid w:val="00723B0B"/>
    <w:rsid w:val="0072595B"/>
    <w:rsid w:val="00731D12"/>
    <w:rsid w:val="00735299"/>
    <w:rsid w:val="00735F94"/>
    <w:rsid w:val="00743D27"/>
    <w:rsid w:val="007440B8"/>
    <w:rsid w:val="00751294"/>
    <w:rsid w:val="00763229"/>
    <w:rsid w:val="00766941"/>
    <w:rsid w:val="007672C3"/>
    <w:rsid w:val="007816A9"/>
    <w:rsid w:val="00793EAE"/>
    <w:rsid w:val="00793F12"/>
    <w:rsid w:val="00794F8E"/>
    <w:rsid w:val="007B65F9"/>
    <w:rsid w:val="007C0575"/>
    <w:rsid w:val="007C36B2"/>
    <w:rsid w:val="007D32E0"/>
    <w:rsid w:val="007E2BB3"/>
    <w:rsid w:val="007E50AE"/>
    <w:rsid w:val="007F53C8"/>
    <w:rsid w:val="00801EF3"/>
    <w:rsid w:val="0080768D"/>
    <w:rsid w:val="00810A55"/>
    <w:rsid w:val="00870344"/>
    <w:rsid w:val="00870AE4"/>
    <w:rsid w:val="0087631D"/>
    <w:rsid w:val="00883B64"/>
    <w:rsid w:val="00896D5D"/>
    <w:rsid w:val="008B06B0"/>
    <w:rsid w:val="008B0D1E"/>
    <w:rsid w:val="008E1A84"/>
    <w:rsid w:val="008F5BE6"/>
    <w:rsid w:val="008F5F21"/>
    <w:rsid w:val="008F6281"/>
    <w:rsid w:val="00902434"/>
    <w:rsid w:val="0093559E"/>
    <w:rsid w:val="009371B9"/>
    <w:rsid w:val="009515A9"/>
    <w:rsid w:val="009800BA"/>
    <w:rsid w:val="0098497E"/>
    <w:rsid w:val="00985734"/>
    <w:rsid w:val="009B41A7"/>
    <w:rsid w:val="009D656A"/>
    <w:rsid w:val="009D6D5E"/>
    <w:rsid w:val="009E2AE4"/>
    <w:rsid w:val="009E6E45"/>
    <w:rsid w:val="009F7125"/>
    <w:rsid w:val="00A21516"/>
    <w:rsid w:val="00A274D5"/>
    <w:rsid w:val="00A60FAC"/>
    <w:rsid w:val="00A72E96"/>
    <w:rsid w:val="00A7691A"/>
    <w:rsid w:val="00AB2343"/>
    <w:rsid w:val="00AB572D"/>
    <w:rsid w:val="00AB5ADF"/>
    <w:rsid w:val="00AC1D30"/>
    <w:rsid w:val="00AE27AA"/>
    <w:rsid w:val="00AE2FD4"/>
    <w:rsid w:val="00AE7758"/>
    <w:rsid w:val="00B0184E"/>
    <w:rsid w:val="00B072C9"/>
    <w:rsid w:val="00B146F0"/>
    <w:rsid w:val="00B23FA8"/>
    <w:rsid w:val="00B30356"/>
    <w:rsid w:val="00B31DA4"/>
    <w:rsid w:val="00B31E80"/>
    <w:rsid w:val="00B40016"/>
    <w:rsid w:val="00B54020"/>
    <w:rsid w:val="00B55F33"/>
    <w:rsid w:val="00B6652C"/>
    <w:rsid w:val="00B74684"/>
    <w:rsid w:val="00B86805"/>
    <w:rsid w:val="00B921B8"/>
    <w:rsid w:val="00BA2C30"/>
    <w:rsid w:val="00BA4534"/>
    <w:rsid w:val="00BB1418"/>
    <w:rsid w:val="00BC2953"/>
    <w:rsid w:val="00BD0BFD"/>
    <w:rsid w:val="00C14418"/>
    <w:rsid w:val="00C4285D"/>
    <w:rsid w:val="00C62A28"/>
    <w:rsid w:val="00CA36B2"/>
    <w:rsid w:val="00CA4B23"/>
    <w:rsid w:val="00CB67FC"/>
    <w:rsid w:val="00CC703B"/>
    <w:rsid w:val="00CF49CF"/>
    <w:rsid w:val="00D0321E"/>
    <w:rsid w:val="00D1704F"/>
    <w:rsid w:val="00D22C40"/>
    <w:rsid w:val="00D35825"/>
    <w:rsid w:val="00D46EBF"/>
    <w:rsid w:val="00D61130"/>
    <w:rsid w:val="00D76555"/>
    <w:rsid w:val="00D873B3"/>
    <w:rsid w:val="00DA576C"/>
    <w:rsid w:val="00DA57F4"/>
    <w:rsid w:val="00DB4AFE"/>
    <w:rsid w:val="00DD2B26"/>
    <w:rsid w:val="00DD60D3"/>
    <w:rsid w:val="00DE6F49"/>
    <w:rsid w:val="00E07C77"/>
    <w:rsid w:val="00E2696A"/>
    <w:rsid w:val="00E41BB2"/>
    <w:rsid w:val="00E463CC"/>
    <w:rsid w:val="00E60602"/>
    <w:rsid w:val="00E66EA9"/>
    <w:rsid w:val="00E76CD6"/>
    <w:rsid w:val="00E80B2A"/>
    <w:rsid w:val="00EA36AD"/>
    <w:rsid w:val="00EB538F"/>
    <w:rsid w:val="00EB5E48"/>
    <w:rsid w:val="00EB6923"/>
    <w:rsid w:val="00EF160C"/>
    <w:rsid w:val="00EF651B"/>
    <w:rsid w:val="00F02F01"/>
    <w:rsid w:val="00F07A35"/>
    <w:rsid w:val="00F11AF8"/>
    <w:rsid w:val="00F12482"/>
    <w:rsid w:val="00F35159"/>
    <w:rsid w:val="00F4518F"/>
    <w:rsid w:val="00F62D3E"/>
    <w:rsid w:val="00F81FB3"/>
    <w:rsid w:val="00F91E69"/>
    <w:rsid w:val="00F95842"/>
    <w:rsid w:val="00FA4B34"/>
    <w:rsid w:val="00FD3F28"/>
    <w:rsid w:val="00FD4626"/>
    <w:rsid w:val="00FE2FF5"/>
    <w:rsid w:val="00FE56AA"/>
    <w:rsid w:val="138B4249"/>
    <w:rsid w:val="1F1A3BC0"/>
    <w:rsid w:val="2651710C"/>
    <w:rsid w:val="2C5F4270"/>
    <w:rsid w:val="341F714B"/>
    <w:rsid w:val="57DD4EC8"/>
    <w:rsid w:val="611546EB"/>
    <w:rsid w:val="6C686480"/>
    <w:rsid w:val="6DBF574D"/>
    <w:rsid w:val="7DD408B3"/>
  </w:rsids>
  <m:mathPr>
    <m:lMargin m:val="0"/>
    <m:mathFont m:val="Cambria Math"/>
    <m:rMargin m:val="0"/>
    <m:wrapIndent m:val="1440"/>
    <m:brkBin m:val="before"/>
    <m:brkBinSub m:val="--"/>
    <m:defJc m:val="centerGroup"/>
    <m:intLim m:val="subSup"/>
    <m:naryLim m:val="undOvr"/>
    <m:smallFrac m:val=""/>
    <m:dispDef/>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Lines="30"/>
      <w:jc w:val="both"/>
    </w:pPr>
    <w:rPr>
      <w:rFonts w:ascii="Times New Roman" w:hAnsi="Times New Roman" w:eastAsia="宋体" w:cs="Times New Roman"/>
      <w:kern w:val="2"/>
      <w:sz w:val="21"/>
      <w:szCs w:val="22"/>
      <w:lang w:val="en-US" w:eastAsia="zh-CN" w:bidi="ar-SA"/>
    </w:rPr>
  </w:style>
  <w:style w:type="character" w:default="1" w:styleId="5">
    <w:name w:val="Default Paragraph Font"/>
    <w:unhideWhenUsed/>
    <w:uiPriority w:val="1"/>
  </w:style>
  <w:style w:type="table" w:default="1" w:styleId="7">
    <w:name w:val="Normal Table"/>
    <w:unhideWhenUsed/>
    <w:uiPriority w:val="99"/>
    <w:tblPr>
      <w:tblLayout w:type="fixed"/>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rFonts w:eastAsiaTheme="minorEastAsia"/>
      <w:sz w:val="18"/>
      <w:szCs w:val="18"/>
    </w:rPr>
  </w:style>
  <w:style w:type="paragraph" w:styleId="3">
    <w:name w:val="header"/>
    <w:basedOn w:val="1"/>
    <w:link w:val="19"/>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widowControl/>
      <w:spacing w:before="100" w:beforeAutospacing="1" w:after="100" w:afterAutospacing="1"/>
      <w:jc w:val="left"/>
    </w:pPr>
    <w:rPr>
      <w:rFonts w:ascii="宋体" w:hAnsi="宋体"/>
      <w:kern w:val="0"/>
      <w:sz w:val="24"/>
      <w:szCs w:val="24"/>
    </w:rPr>
  </w:style>
  <w:style w:type="character" w:styleId="6">
    <w:name w:val="page number"/>
    <w:basedOn w:val="5"/>
    <w:unhideWhenUsed/>
    <w:qFormat/>
    <w:uiPriority w:val="99"/>
  </w:style>
  <w:style w:type="character" w:customStyle="1" w:styleId="8">
    <w:name w:val="页脚 Char"/>
    <w:link w:val="2"/>
    <w:qFormat/>
    <w:locked/>
    <w:uiPriority w:val="99"/>
    <w:rPr>
      <w:rFonts w:ascii="Times New Roman" w:hAnsi="Times New Roman" w:cs="Times New Roman"/>
      <w:sz w:val="18"/>
      <w:szCs w:val="18"/>
    </w:rPr>
  </w:style>
  <w:style w:type="character" w:customStyle="1" w:styleId="9">
    <w:name w:val="页脚 Char1"/>
    <w:basedOn w:val="5"/>
    <w:semiHidden/>
    <w:qFormat/>
    <w:uiPriority w:val="99"/>
    <w:rPr>
      <w:rFonts w:ascii="Times New Roman" w:hAnsi="Times New Roman" w:eastAsia="宋体" w:cs="Times New Roman"/>
      <w:sz w:val="18"/>
      <w:szCs w:val="18"/>
    </w:rPr>
  </w:style>
  <w:style w:type="paragraph" w:customStyle="1" w:styleId="10">
    <w:name w:val="biaoge_left"/>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1">
    <w:name w:val="zhangjie_p2"/>
    <w:basedOn w:val="1"/>
    <w:qFormat/>
    <w:uiPriority w:val="0"/>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12">
    <w:name w:val="biaoge_center"/>
    <w:basedOn w:val="1"/>
    <w:qFormat/>
    <w:uiPriority w:val="0"/>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13">
    <w:name w:val="dazhangjie"/>
    <w:basedOn w:val="1"/>
    <w:qFormat/>
    <w:uiPriority w:val="0"/>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4">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15">
    <w:name w:val="biaoge_right"/>
    <w:basedOn w:val="1"/>
    <w:qFormat/>
    <w:uiPriority w:val="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16">
    <w:name w:val="neirong"/>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7">
    <w:name w:val="zhangjie_p"/>
    <w:basedOn w:val="1"/>
    <w:qFormat/>
    <w:uiPriority w:val="0"/>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18">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19">
    <w:name w:val="页眉 Char"/>
    <w:basedOn w:val="5"/>
    <w:link w:val="3"/>
    <w:qFormat/>
    <w:uiPriority w:val="99"/>
    <w:rPr>
      <w:rFonts w:ascii="Times New Roman" w:hAnsi="Times New Roman" w:eastAsia="宋体" w:cs="Times New Roman"/>
      <w:sz w:val="18"/>
      <w:szCs w:val="18"/>
    </w:r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10" Target="../customXml/item1.xml" Type="http://schemas.openxmlformats.org/officeDocument/2006/relationships/customXml"/><Relationship Id="rId11" Target="fontTable.xml" Type="http://schemas.openxmlformats.org/officeDocument/2006/relationships/fontTable"/><Relationship Id="rId2" Target="settings.xml" Type="http://schemas.openxmlformats.org/officeDocument/2006/relationships/settings"/><Relationship Id="rId3" Target="header1.xml" Type="http://schemas.openxmlformats.org/officeDocument/2006/relationships/header"/><Relationship Id="rId4" Target="header2.xml" Type="http://schemas.openxmlformats.org/officeDocument/2006/relationships/header"/><Relationship Id="rId5" Target="header3.xml" Type="http://schemas.openxmlformats.org/officeDocument/2006/relationships/header"/><Relationship Id="rId6" Target="footer1.xml" Type="http://schemas.openxmlformats.org/officeDocument/2006/relationships/footer"/><Relationship Id="rId7" Target="footer2.xml" Type="http://schemas.openxmlformats.org/officeDocument/2006/relationships/footer"/><Relationship Id="rId8" Target="footer3.xml" Type="http://schemas.openxmlformats.org/officeDocument/2006/relationships/footer"/><Relationship Id="rId9"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cc</Company>
  <Pages>6</Pages>
  <Words>315</Words>
  <Characters>1797</Characters>
  <Lines>14</Lines>
  <Paragraphs>4</Paragraphs>
  <ScaleCrop>false</ScaleCrop>
  <LinksUpToDate>false</LinksUpToDate>
  <CharactersWithSpaces>2108</CharactersWithSpaces>
  <Application>WPS Office_10.8.0.6058_F1E327BC-269C-435d-A152-05C5408002CA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2022-08-03T07:42:00Z</dcterms:created>
  <dc:creator>演示人</dc:creator>
  <cp:lastModifiedBy>兆尹科技</cp:lastModifiedBy>
  <dcterms:modified xsi:type="dcterms:W3CDTF">2024-02-05T03:10:51Z</dcterms:modified>
  <cp:revision>116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y fmtid="{D5CDD505-2E9C-101B-9397-08002B2CF9AE}" pid="3" name="ICV">
    <vt:lpwstr>65B57D7BDF384424A76A3B84B5FDE380</vt:lpwstr>
  </property>
</Properties>
</file>