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丰裕固收22077期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丰裕固收22077期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FYG22077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Z7002222000121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2024年1月11日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4.00%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786,549,215.87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143.66%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786,549,215.87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769,806,504.00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1.0217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1.0217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丰裕固收22077期B款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FYG22077B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1.0222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358,988,569.22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丰裕固收22077期C款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FYG22077C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279,733,093.98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丰裕固收22077期D款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FYG22077D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132,838,134.45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丰裕固收22077期E款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FYG22077E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1.0226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14,989,418.22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丰裕固收22077期B款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丰裕固收22077期C款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丰裕固收22077期D款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4.47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丰裕固收22077期E款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4.66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二季度央行公开市场无净投放，但6月13日，中国人民银行将公开市场7日逆回购利率由2%下降至1.9%，这是自去年9月份以来首次下降。银行间资金价格较去年四季度相比整体下行，R007均值2.16%，较上年四季度季度均值下行19bp。本产品主要配置固收类资产，债券部分以信用债为主，受益于2季度信用债和利率债收益率下行，通过杠杆策略和久期策略，债券净值增长表现较好；非标资产的融资主体以城建类国企为主，信用依然维持稳定，还本付息能力未受宏观环境影响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非标资产方面三季度继续保持信用环境稳定，投资节奏稳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0.26%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0.26%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69.35%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69.35%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30.40%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30.40%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23新昌投发01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184,706,817.53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23.48%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23安吉产投01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102,472,264.38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13.03%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20高邮建投PPN001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72,752,053.29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20兰投01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62,769,850.85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7.98%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21天恒置业MTN001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62,645,145.21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7.96%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20胶州湾PPN002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61,868,467.80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21昌阳投资PPN003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61,499,607.91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21泰州海陵PPN001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59,405,194.29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7.55%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23盐城投控03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56,292,506.78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7.16%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21汾湖投资MTN001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51,950,534.25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6.60%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337,278,976.78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42.88%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浙江省新昌县投资发展集团有限公司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23新昌投发01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20240110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184,706,817.53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每年付息，到期一次还本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安吉县产业投资发展集团有限公司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23安吉产投01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20240109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102,472,264.38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盐城市交通投资建设控股集团有限公司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23盐城投控03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20240109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56,292,506.78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769,806,504.00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769,806,504.00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杭银理财幸福99丰裕固收22077期理财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3301040160015309811-5122077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