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半年添益2005期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半年添益2005期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TYG6M2005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Z7002221000172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2020年2月19日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3.40%-3.80%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578,433,060.43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105.74%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578,433,060.43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512,317,915.96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1.1290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1.1290</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半年添益2005期</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3.83</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 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投资的债券资产流动性状况良好，正常情况下能够及时变现资产，筹集资金，满足本产品的投资者赎回需求或其他支付要求。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0.10%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0.19%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4.09%</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4.09%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83.05%</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83.05%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8.04%</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8.04%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4.63%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4.72%</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20丽水城建PPN001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52,147,602.74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9.02%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20旅业01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51,917,123.29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8.98%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23国开02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50,901,698.63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8.80%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21胶州02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50,859,726.03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8.79%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23北仑现代03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49,189,740.05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8.50%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21六合交通PPN002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30,765,606.56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5.32%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21桐庐新城PPN001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30,732,418.03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5.31%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30,641,695.89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5.30%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20未央01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21,089,336.99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3.65%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20锡新01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20,878,328.77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3.61%</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31,004,279.45</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5.36%</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宁波市北仑区现代服务业发展有限公司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23北仑现代03</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20230904</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49,189,740.05</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512,317,915.96</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512,317,915.96</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23北仑现代03</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理财直融工具</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49,000,000.00</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49,000,000.00</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杭银理财有限责任公司幸福99半年添益第2005期</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3301040160015309811-332005</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