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半年添益2007期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半年添益2007期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TYG6M2007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Z7002221000174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2020年3月4日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3.40%-3.80%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554,057,426.26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104.91%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554,057,426.26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489,813,040.31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1.1311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1.1311</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半年添益2007期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3.94</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 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83.09%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83.09%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12.14%</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12.14%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4.68%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4.77%</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23南湖投资03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40,428,338.80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20广安03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31,081,520.55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5.61%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20鑫诚恒业MTN001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31,019,547.95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5.60%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22渝隆资产PPN001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30,842,465.75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30,541,019.18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5.51%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30,116,167.38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5.44%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20郫国投PPN002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21,142,657.53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21龙口城乡PPN002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20,642,356.16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22海安城改CP001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20,459,369.86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22柯桥国资PPN001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20,432,958.90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3.69%</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25,001,506.85</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4.51%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嘉兴市南湖投资开发建设集团有限公司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23南湖投资03</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20230919</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40,428,338.80</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宁波市北仑区现代服务业发展有限公司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20230904</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30,116,167.38</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489,813,040.31</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489,813,040.31</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22江北新城PPN003</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10,235,372.19</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23北仑现代03</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30,000,000.00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30,000,000.00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杭银理财有限责任公司幸福99半年添益第2007期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3301040160015309811-332007</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