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年添益2110期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年添益2110期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TYG13M2110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Z7002221000010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2021年3月24日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4.10%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440,713,554.12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113.28%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440,713,554.12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404,435,517.45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1.0897</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1.0897</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年添益2110期</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TYG13M2110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1.0896</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1.0896</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358,206,584.61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年添益2110期B款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TYG13M2110B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1.0898</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1.0898</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82,506,969.51</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年添益2110期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3.94</w:t>
            </w:r>
            <w:r>
              <w:rPr>
                <w:rFonts w:ascii="仿宋" w:eastAsia="仿宋" w:hAnsi="仿宋" w:cs="仿宋"/>
                <w:sz w:val="24"/>
              </w:rPr>
              <w:t>%</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年添益2110期B款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3.95</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及权益类资产。产品所投资的债券资产流动性状况良好，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的匹配。</w:t>
        <w:cr/>
        <w:t>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1.09%</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1.16%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0.25%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86.06%</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86.06%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10.04%</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0.73%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1.76%</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1.76%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1.06%</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23镜湖开发02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50,123,829.51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11.37%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21浙江旅投MTN001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31,301,893.15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7.10%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21滨江城建MTN002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31,161,780.82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7.07%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21菏开02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31,133,798.63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7.06%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21济南城投MTN001A(项目收益)</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30,697,643.84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6.97%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22知识城MTN006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30,642,673.97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6.95%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21台州经济MTN001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30,389,377.05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6.90%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23吴中交投CP001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30,100,803.28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6.83%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23桐庐投资CP001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30,055,795.08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6.82%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19青城G2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20,803,895.89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4.72%</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58,021,676.71</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13.17%</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绍兴市镜湖开发集团有限公司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23镜湖开发02</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20240604</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50,123,829.51</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964,077,496.05</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404,435,517.45</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23镜湖开发02</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理财直融工具</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50,000,000.00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50,000,000.00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销售费</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1,751,429.54</w:t>
            </w:r>
          </w:p>
        </w:tc>
      </w:tr>
      <w:tr>
        <w:tblPrEx>
          <w:tblW w:w="8994" w:type="dxa"/>
          <w:tblInd w:w="67" w:type="dxa"/>
          <w:tblLayout w:type="fixed"/>
          <w:tblLook w:val="04A0"/>
        </w:tblPrEx>
        <w:trPr>
          <w:trHeight w:val="187"/>
        </w:trPr>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托管费</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272,538.19</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杭银理财有限责任公司幸福99年添益开放式第2110期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3301040160015309811-522110</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杭州银行股份有限公司营业部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